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216D3" w14:textId="77777777" w:rsidR="00416516" w:rsidRPr="00416516" w:rsidRDefault="00416516" w:rsidP="00416516"/>
    <w:p w14:paraId="7EF26DB9" w14:textId="77777777" w:rsidR="00FD4AF4" w:rsidRDefault="00FD4AF4" w:rsidP="00416516">
      <w:pPr>
        <w:pStyle w:val="Title"/>
        <w:jc w:val="center"/>
        <w:rPr>
          <w:color w:val="1F4E79" w:themeColor="accent1" w:themeShade="80"/>
        </w:rPr>
      </w:pPr>
      <w:bookmarkStart w:id="0" w:name="_GoBack"/>
      <w:bookmarkEnd w:id="0"/>
      <w:r w:rsidRPr="00FD4AF4">
        <w:rPr>
          <w:color w:val="1F4E79" w:themeColor="accent1" w:themeShade="80"/>
        </w:rPr>
        <w:t>Guidance fo</w:t>
      </w:r>
      <w:r>
        <w:rPr>
          <w:color w:val="1F4E79" w:themeColor="accent1" w:themeShade="80"/>
        </w:rPr>
        <w:t>r</w:t>
      </w:r>
    </w:p>
    <w:p w14:paraId="35684094" w14:textId="0CFB42B3" w:rsidR="0078722E" w:rsidRDefault="00411C0E" w:rsidP="0078722E">
      <w:pPr>
        <w:pStyle w:val="Title"/>
        <w:jc w:val="center"/>
        <w:rPr>
          <w:color w:val="1F4E79" w:themeColor="accent1" w:themeShade="80"/>
        </w:rPr>
      </w:pPr>
      <w:r>
        <w:rPr>
          <w:color w:val="1F4E79" w:themeColor="accent1" w:themeShade="80"/>
        </w:rPr>
        <w:t xml:space="preserve">Missouri’s </w:t>
      </w:r>
      <w:r w:rsidR="00E071D1">
        <w:rPr>
          <w:color w:val="1F4E79" w:themeColor="accent1" w:themeShade="80"/>
        </w:rPr>
        <w:t>Area Career Center Opportunity</w:t>
      </w:r>
      <w:r w:rsidR="0078722E">
        <w:rPr>
          <w:color w:val="1F4E79" w:themeColor="accent1" w:themeShade="80"/>
        </w:rPr>
        <w:t xml:space="preserve"> Grant</w:t>
      </w:r>
      <w:r w:rsidR="00E071D1">
        <w:rPr>
          <w:color w:val="1F4E79" w:themeColor="accent1" w:themeShade="80"/>
        </w:rPr>
        <w:t>,</w:t>
      </w:r>
    </w:p>
    <w:p w14:paraId="7B8236AB" w14:textId="77777777" w:rsidR="000B6F28" w:rsidRPr="00FD4AF4" w:rsidRDefault="00FD4AF4" w:rsidP="0078722E">
      <w:pPr>
        <w:pStyle w:val="Title"/>
        <w:jc w:val="center"/>
        <w:rPr>
          <w:color w:val="1F4E79" w:themeColor="accent1" w:themeShade="80"/>
        </w:rPr>
      </w:pPr>
      <w:r w:rsidRPr="00FD4AF4">
        <w:rPr>
          <w:color w:val="1F4E79" w:themeColor="accent1" w:themeShade="80"/>
        </w:rPr>
        <w:t xml:space="preserve">Funded by the </w:t>
      </w:r>
      <w:r w:rsidR="0078722E">
        <w:rPr>
          <w:color w:val="1F4E79" w:themeColor="accent1" w:themeShade="80"/>
        </w:rPr>
        <w:t xml:space="preserve">American Rescue Plan Act </w:t>
      </w:r>
    </w:p>
    <w:p w14:paraId="4D783435" w14:textId="77777777" w:rsidR="00416516" w:rsidRDefault="00416516" w:rsidP="00416516"/>
    <w:p w14:paraId="1777B949" w14:textId="77777777" w:rsidR="000468D7" w:rsidRDefault="000468D7" w:rsidP="00416516"/>
    <w:p w14:paraId="670BEBCD" w14:textId="77777777" w:rsidR="000468D7" w:rsidRPr="00416516" w:rsidRDefault="000468D7" w:rsidP="00416516"/>
    <w:p w14:paraId="4F61FFD9" w14:textId="77777777" w:rsidR="00416516" w:rsidRPr="00FD4AF4" w:rsidRDefault="00416516" w:rsidP="00416516">
      <w:pPr>
        <w:pStyle w:val="Subtitle"/>
        <w:jc w:val="center"/>
        <w:rPr>
          <w:color w:val="1F4E79" w:themeColor="accent1" w:themeShade="80"/>
          <w:sz w:val="52"/>
        </w:rPr>
      </w:pPr>
      <w:r w:rsidRPr="00FD4AF4">
        <w:rPr>
          <w:color w:val="1F4E79" w:themeColor="accent1" w:themeShade="80"/>
          <w:sz w:val="52"/>
        </w:rPr>
        <w:t>Department of Elementary and Secondary Education</w:t>
      </w:r>
    </w:p>
    <w:p w14:paraId="7DA102A4" w14:textId="77777777" w:rsidR="00FD4AF4" w:rsidRPr="00FD4AF4" w:rsidRDefault="0078722E" w:rsidP="00416516">
      <w:pPr>
        <w:jc w:val="center"/>
        <w:rPr>
          <w:color w:val="1F4E79" w:themeColor="accent1" w:themeShade="80"/>
          <w:sz w:val="36"/>
        </w:rPr>
      </w:pPr>
      <w:r w:rsidRPr="00E071D1">
        <w:rPr>
          <w:color w:val="1F4E79" w:themeColor="accent1" w:themeShade="80"/>
          <w:sz w:val="36"/>
        </w:rPr>
        <w:lastRenderedPageBreak/>
        <w:t>July 1</w:t>
      </w:r>
      <w:r w:rsidR="00FD4AF4" w:rsidRPr="00E071D1">
        <w:rPr>
          <w:color w:val="1F4E79" w:themeColor="accent1" w:themeShade="80"/>
          <w:sz w:val="36"/>
        </w:rPr>
        <w:t>,</w:t>
      </w:r>
      <w:r w:rsidR="00416516" w:rsidRPr="00E071D1">
        <w:rPr>
          <w:color w:val="1F4E79" w:themeColor="accent1" w:themeShade="80"/>
          <w:sz w:val="36"/>
        </w:rPr>
        <w:t xml:space="preserve"> </w:t>
      </w:r>
      <w:r>
        <w:rPr>
          <w:color w:val="1F4E79" w:themeColor="accent1" w:themeShade="80"/>
          <w:sz w:val="36"/>
        </w:rPr>
        <w:t>2022</w:t>
      </w:r>
    </w:p>
    <w:p w14:paraId="24EF537A" w14:textId="77777777" w:rsidR="00416516" w:rsidRDefault="00FD4AF4" w:rsidP="00416516">
      <w:pPr>
        <w:jc w:val="center"/>
        <w:rPr>
          <w:color w:val="FF0000"/>
        </w:rPr>
      </w:pPr>
      <w:r>
        <w:rPr>
          <w:noProof/>
        </w:rPr>
        <w:drawing>
          <wp:inline distT="0" distB="0" distL="0" distR="0" wp14:anchorId="3870823A" wp14:editId="4F40CC07">
            <wp:extent cx="2076391" cy="7498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color-JPG.jpg"/>
                    <pic:cNvPicPr/>
                  </pic:nvPicPr>
                  <pic:blipFill>
                    <a:blip r:embed="rId8">
                      <a:extLst>
                        <a:ext uri="{28A0092B-C50C-407E-A947-70E740481C1C}">
                          <a14:useLocalDpi xmlns:a14="http://schemas.microsoft.com/office/drawing/2010/main" val="0"/>
                        </a:ext>
                      </a:extLst>
                    </a:blip>
                    <a:stretch>
                      <a:fillRect/>
                    </a:stretch>
                  </pic:blipFill>
                  <pic:spPr>
                    <a:xfrm>
                      <a:off x="0" y="0"/>
                      <a:ext cx="2105507" cy="760322"/>
                    </a:xfrm>
                    <a:prstGeom prst="rect">
                      <a:avLst/>
                    </a:prstGeom>
                  </pic:spPr>
                </pic:pic>
              </a:graphicData>
            </a:graphic>
          </wp:inline>
        </w:drawing>
      </w:r>
    </w:p>
    <w:p w14:paraId="0C623994" w14:textId="77777777" w:rsidR="00FD4AF4" w:rsidRDefault="00FD4AF4" w:rsidP="00416516">
      <w:pPr>
        <w:jc w:val="center"/>
        <w:rPr>
          <w:color w:val="FF0000"/>
        </w:rPr>
      </w:pPr>
    </w:p>
    <w:p w14:paraId="2F479678" w14:textId="77777777" w:rsidR="00FD4AF4" w:rsidRDefault="0078722E" w:rsidP="0078722E">
      <w:pPr>
        <w:tabs>
          <w:tab w:val="left" w:pos="5280"/>
        </w:tabs>
        <w:rPr>
          <w:color w:val="FF0000"/>
        </w:rPr>
      </w:pPr>
      <w:r>
        <w:rPr>
          <w:color w:val="FF0000"/>
        </w:rPr>
        <w:tab/>
      </w:r>
    </w:p>
    <w:p w14:paraId="686439CE" w14:textId="77777777" w:rsidR="00FD4AF4" w:rsidRDefault="00FD4AF4" w:rsidP="00FD4AF4">
      <w:pPr>
        <w:autoSpaceDE w:val="0"/>
        <w:autoSpaceDN w:val="0"/>
        <w:adjustRightInd w:val="0"/>
        <w:spacing w:after="0" w:line="240" w:lineRule="auto"/>
        <w:jc w:val="center"/>
        <w:rPr>
          <w:rFonts w:cstheme="minorHAnsi"/>
          <w:b/>
          <w:bCs/>
          <w:iCs/>
        </w:rPr>
      </w:pPr>
    </w:p>
    <w:p w14:paraId="680A8739" w14:textId="77777777" w:rsidR="00FD4AF4" w:rsidRDefault="00FD4AF4" w:rsidP="00FD4AF4">
      <w:pPr>
        <w:autoSpaceDE w:val="0"/>
        <w:autoSpaceDN w:val="0"/>
        <w:adjustRightInd w:val="0"/>
        <w:spacing w:after="0" w:line="240" w:lineRule="auto"/>
        <w:jc w:val="center"/>
        <w:rPr>
          <w:rFonts w:cstheme="minorHAnsi"/>
          <w:b/>
          <w:bCs/>
          <w:iCs/>
        </w:rPr>
      </w:pPr>
    </w:p>
    <w:p w14:paraId="76F28B6B" w14:textId="77777777" w:rsidR="00FD4AF4" w:rsidRPr="003D086C" w:rsidRDefault="00FD4AF4" w:rsidP="00FD4AF4">
      <w:pPr>
        <w:autoSpaceDE w:val="0"/>
        <w:autoSpaceDN w:val="0"/>
        <w:adjustRightInd w:val="0"/>
        <w:spacing w:after="0" w:line="240" w:lineRule="auto"/>
        <w:jc w:val="center"/>
        <w:rPr>
          <w:rFonts w:cstheme="minorHAnsi"/>
          <w:b/>
          <w:bCs/>
          <w:iCs/>
        </w:rPr>
      </w:pPr>
    </w:p>
    <w:p w14:paraId="51DB6F6C" w14:textId="77777777" w:rsidR="00FD4AF4" w:rsidRDefault="00FD4AF4" w:rsidP="00FD4AF4">
      <w:pPr>
        <w:jc w:val="center"/>
        <w:rPr>
          <w:color w:val="FF0000"/>
        </w:rPr>
      </w:pPr>
      <w:r w:rsidRPr="003D086C">
        <w:rPr>
          <w:i/>
          <w:iCs/>
          <w:color w:val="333333"/>
          <w:sz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9" w:history="1">
        <w:r w:rsidRPr="003D086C">
          <w:rPr>
            <w:b/>
            <w:bCs/>
            <w:i/>
            <w:iCs/>
            <w:color w:val="0062A0"/>
            <w:sz w:val="18"/>
            <w:szCs w:val="24"/>
            <w:bdr w:val="none" w:sz="0" w:space="0" w:color="auto" w:frame="1"/>
          </w:rPr>
          <w:t>civilrights@dese.mo.gov</w:t>
        </w:r>
      </w:hyperlink>
      <w:r w:rsidRPr="003D086C">
        <w:rPr>
          <w:i/>
          <w:iCs/>
          <w:sz w:val="16"/>
        </w:rPr>
        <w:t>.</w:t>
      </w:r>
      <w:r>
        <w:rPr>
          <w:i/>
          <w:iCs/>
          <w:sz w:val="16"/>
        </w:rPr>
        <w:br/>
      </w:r>
      <w:r>
        <w:rPr>
          <w:i/>
          <w:iCs/>
          <w:sz w:val="16"/>
        </w:rPr>
        <w:br/>
      </w:r>
      <w:r w:rsidRPr="00955324">
        <w:rPr>
          <w:sz w:val="16"/>
          <w:szCs w:val="15"/>
        </w:rPr>
        <w:t xml:space="preserve">The </w:t>
      </w:r>
      <w:r w:rsidR="00E071D1">
        <w:rPr>
          <w:sz w:val="16"/>
          <w:szCs w:val="15"/>
        </w:rPr>
        <w:t>ARPA</w:t>
      </w:r>
      <w:r w:rsidRPr="003D086C">
        <w:t xml:space="preserve"> </w:t>
      </w:r>
      <w:r w:rsidRPr="00955324">
        <w:rPr>
          <w:sz w:val="16"/>
          <w:szCs w:val="15"/>
        </w:rPr>
        <w:t xml:space="preserve">program receives 100 percent of its funding through a grant from the U.S. Department of Education. For Federal Fiscal Year </w:t>
      </w:r>
      <w:r w:rsidR="0078722E">
        <w:rPr>
          <w:sz w:val="16"/>
          <w:szCs w:val="15"/>
        </w:rPr>
        <w:t>2022</w:t>
      </w:r>
      <w:r w:rsidRPr="00955324">
        <w:rPr>
          <w:sz w:val="16"/>
          <w:szCs w:val="15"/>
        </w:rPr>
        <w:t>, the total amount of grant funds awarded was $0. There were no remaining costs.</w:t>
      </w:r>
    </w:p>
    <w:p w14:paraId="6A4E5D45" w14:textId="77777777" w:rsidR="00FD4AF4" w:rsidRDefault="00FD4AF4">
      <w:pPr>
        <w:sectPr w:rsidR="00FD4AF4" w:rsidSect="00FD4AF4">
          <w:pgSz w:w="12240" w:h="15840"/>
          <w:pgMar w:top="1440" w:right="1440" w:bottom="1440" w:left="1440" w:header="720" w:footer="720" w:gutter="0"/>
          <w:pgBorders w:offsetFrom="page">
            <w:top w:val="thinThickSmallGap" w:sz="24" w:space="24" w:color="1F4E79" w:themeColor="accent1" w:themeShade="80"/>
            <w:left w:val="thinThickSmallGap" w:sz="24" w:space="24" w:color="1F4E79" w:themeColor="accent1" w:themeShade="80"/>
            <w:bottom w:val="thickThinSmallGap" w:sz="24" w:space="24" w:color="1F4E79" w:themeColor="accent1" w:themeShade="80"/>
            <w:right w:val="thickThinSmallGap" w:sz="24" w:space="24" w:color="1F4E79" w:themeColor="accent1" w:themeShade="80"/>
          </w:pgBorders>
          <w:cols w:space="720"/>
          <w:docGrid w:linePitch="360"/>
        </w:sectPr>
      </w:pPr>
    </w:p>
    <w:sdt>
      <w:sdtPr>
        <w:rPr>
          <w:rFonts w:asciiTheme="minorHAnsi" w:eastAsiaTheme="minorHAnsi" w:hAnsiTheme="minorHAnsi" w:cstheme="minorBidi"/>
          <w:b w:val="0"/>
          <w:sz w:val="22"/>
          <w:szCs w:val="22"/>
        </w:rPr>
        <w:id w:val="877134509"/>
        <w:docPartObj>
          <w:docPartGallery w:val="Table of Contents"/>
          <w:docPartUnique/>
        </w:docPartObj>
      </w:sdtPr>
      <w:sdtEndPr>
        <w:rPr>
          <w:bCs/>
          <w:noProof/>
        </w:rPr>
      </w:sdtEndPr>
      <w:sdtContent>
        <w:p w14:paraId="5B5D1481" w14:textId="77777777" w:rsidR="00BD60C5" w:rsidRPr="002A3B59" w:rsidRDefault="00D3514A" w:rsidP="000468D7">
          <w:pPr>
            <w:pStyle w:val="TOCHeading"/>
            <w:rPr>
              <w:rStyle w:val="Heading1Char"/>
            </w:rPr>
          </w:pPr>
          <w:r>
            <w:rPr>
              <w:rStyle w:val="Heading1Char"/>
            </w:rPr>
            <w:t>CONTENTS</w:t>
          </w:r>
        </w:p>
        <w:p w14:paraId="1CE87D0B" w14:textId="36767B47" w:rsidR="006E230A" w:rsidRDefault="00BD60C5" w:rsidP="00BC170B">
          <w:pPr>
            <w:pStyle w:val="TOC1"/>
            <w:rPr>
              <w:rFonts w:eastAsiaTheme="minorEastAsia"/>
            </w:rPr>
          </w:pPr>
          <w:r>
            <w:rPr>
              <w:noProof w:val="0"/>
            </w:rPr>
            <w:fldChar w:fldCharType="begin"/>
          </w:r>
          <w:r>
            <w:instrText xml:space="preserve"> TOC \o "1-3" \h \z \u </w:instrText>
          </w:r>
          <w:r>
            <w:rPr>
              <w:noProof w:val="0"/>
            </w:rPr>
            <w:fldChar w:fldCharType="separate"/>
          </w:r>
          <w:hyperlink w:anchor="_Toc80957402" w:history="1">
            <w:r w:rsidR="006E230A" w:rsidRPr="006371A8">
              <w:rPr>
                <w:rStyle w:val="Hyperlink"/>
              </w:rPr>
              <w:t>INTRODUCTION AND PURPOSE OF THE DOCUMENT</w:t>
            </w:r>
            <w:r w:rsidR="006E230A">
              <w:rPr>
                <w:webHidden/>
              </w:rPr>
              <w:tab/>
            </w:r>
            <w:r w:rsidR="006E230A">
              <w:rPr>
                <w:webHidden/>
              </w:rPr>
              <w:fldChar w:fldCharType="begin"/>
            </w:r>
            <w:r w:rsidR="006E230A">
              <w:rPr>
                <w:webHidden/>
              </w:rPr>
              <w:instrText xml:space="preserve"> PAGEREF _Toc80957402 \h </w:instrText>
            </w:r>
            <w:r w:rsidR="006E230A">
              <w:rPr>
                <w:webHidden/>
              </w:rPr>
            </w:r>
            <w:r w:rsidR="006E230A">
              <w:rPr>
                <w:webHidden/>
              </w:rPr>
              <w:fldChar w:fldCharType="separate"/>
            </w:r>
            <w:r w:rsidR="00BC170B">
              <w:rPr>
                <w:webHidden/>
              </w:rPr>
              <w:t>3</w:t>
            </w:r>
            <w:r w:rsidR="006E230A">
              <w:rPr>
                <w:webHidden/>
              </w:rPr>
              <w:fldChar w:fldCharType="end"/>
            </w:r>
          </w:hyperlink>
        </w:p>
        <w:p w14:paraId="1E11E338" w14:textId="3D3432BA" w:rsidR="006E230A" w:rsidRPr="00BC170B" w:rsidRDefault="009143C5" w:rsidP="00BC170B">
          <w:pPr>
            <w:pStyle w:val="TOC1"/>
            <w:rPr>
              <w:rFonts w:eastAsiaTheme="minorEastAsia"/>
            </w:rPr>
          </w:pPr>
          <w:hyperlink w:anchor="_Toc80957403" w:history="1">
            <w:r w:rsidR="006E230A" w:rsidRPr="00BC170B">
              <w:rPr>
                <w:rStyle w:val="Hyperlink"/>
                <w:color w:val="auto"/>
              </w:rPr>
              <w:t>BACKGROUND</w:t>
            </w:r>
            <w:r w:rsidR="006E230A" w:rsidRPr="00BC170B">
              <w:rPr>
                <w:webHidden/>
              </w:rPr>
              <w:tab/>
            </w:r>
            <w:r w:rsidR="006E230A" w:rsidRPr="00BC170B">
              <w:rPr>
                <w:webHidden/>
              </w:rPr>
              <w:fldChar w:fldCharType="begin"/>
            </w:r>
            <w:r w:rsidR="006E230A" w:rsidRPr="00BC170B">
              <w:rPr>
                <w:webHidden/>
              </w:rPr>
              <w:instrText xml:space="preserve"> PAGEREF _Toc80957403 \h </w:instrText>
            </w:r>
            <w:r w:rsidR="006E230A" w:rsidRPr="00BC170B">
              <w:rPr>
                <w:webHidden/>
              </w:rPr>
            </w:r>
            <w:r w:rsidR="006E230A" w:rsidRPr="00BC170B">
              <w:rPr>
                <w:webHidden/>
              </w:rPr>
              <w:fldChar w:fldCharType="separate"/>
            </w:r>
            <w:r w:rsidR="00BC170B">
              <w:rPr>
                <w:webHidden/>
              </w:rPr>
              <w:t>3</w:t>
            </w:r>
            <w:r w:rsidR="006E230A" w:rsidRPr="00BC170B">
              <w:rPr>
                <w:webHidden/>
              </w:rPr>
              <w:fldChar w:fldCharType="end"/>
            </w:r>
          </w:hyperlink>
        </w:p>
        <w:p w14:paraId="2F46951D" w14:textId="67B376CA" w:rsidR="006E230A" w:rsidRDefault="009143C5" w:rsidP="00BC170B">
          <w:pPr>
            <w:pStyle w:val="TOC1"/>
            <w:rPr>
              <w:rFonts w:eastAsiaTheme="minorEastAsia"/>
            </w:rPr>
          </w:pPr>
          <w:hyperlink w:anchor="_Toc80957404" w:history="1">
            <w:r w:rsidR="006E230A" w:rsidRPr="006371A8">
              <w:rPr>
                <w:rStyle w:val="Hyperlink"/>
              </w:rPr>
              <w:t>GRANT DETAILS</w:t>
            </w:r>
            <w:r w:rsidR="006E230A">
              <w:rPr>
                <w:webHidden/>
              </w:rPr>
              <w:tab/>
            </w:r>
            <w:r w:rsidR="006E230A">
              <w:rPr>
                <w:webHidden/>
              </w:rPr>
              <w:fldChar w:fldCharType="begin"/>
            </w:r>
            <w:r w:rsidR="006E230A">
              <w:rPr>
                <w:webHidden/>
              </w:rPr>
              <w:instrText xml:space="preserve"> PAGEREF _Toc80957404 \h </w:instrText>
            </w:r>
            <w:r w:rsidR="006E230A">
              <w:rPr>
                <w:webHidden/>
              </w:rPr>
            </w:r>
            <w:r w:rsidR="006E230A">
              <w:rPr>
                <w:webHidden/>
              </w:rPr>
              <w:fldChar w:fldCharType="separate"/>
            </w:r>
            <w:r w:rsidR="00BC170B">
              <w:rPr>
                <w:webHidden/>
              </w:rPr>
              <w:t>3</w:t>
            </w:r>
            <w:r w:rsidR="006E230A">
              <w:rPr>
                <w:webHidden/>
              </w:rPr>
              <w:fldChar w:fldCharType="end"/>
            </w:r>
          </w:hyperlink>
        </w:p>
        <w:p w14:paraId="41D35519" w14:textId="59A92877" w:rsidR="006E230A" w:rsidRDefault="009143C5">
          <w:pPr>
            <w:pStyle w:val="TOC2"/>
            <w:tabs>
              <w:tab w:val="right" w:leader="dot" w:pos="9350"/>
            </w:tabs>
            <w:rPr>
              <w:rFonts w:eastAsiaTheme="minorEastAsia"/>
              <w:noProof/>
            </w:rPr>
          </w:pPr>
          <w:hyperlink w:anchor="_Toc80957405" w:history="1">
            <w:r w:rsidR="006E230A" w:rsidRPr="006371A8">
              <w:rPr>
                <w:rStyle w:val="Hyperlink"/>
                <w:noProof/>
              </w:rPr>
              <w:t>PURPOSE</w:t>
            </w:r>
            <w:r w:rsidR="006E230A">
              <w:rPr>
                <w:noProof/>
                <w:webHidden/>
              </w:rPr>
              <w:tab/>
            </w:r>
            <w:r w:rsidR="006E230A">
              <w:rPr>
                <w:noProof/>
                <w:webHidden/>
              </w:rPr>
              <w:fldChar w:fldCharType="begin"/>
            </w:r>
            <w:r w:rsidR="006E230A">
              <w:rPr>
                <w:noProof/>
                <w:webHidden/>
              </w:rPr>
              <w:instrText xml:space="preserve"> PAGEREF _Toc80957405 \h </w:instrText>
            </w:r>
            <w:r w:rsidR="006E230A">
              <w:rPr>
                <w:noProof/>
                <w:webHidden/>
              </w:rPr>
            </w:r>
            <w:r w:rsidR="006E230A">
              <w:rPr>
                <w:noProof/>
                <w:webHidden/>
              </w:rPr>
              <w:fldChar w:fldCharType="separate"/>
            </w:r>
            <w:r w:rsidR="00BC170B">
              <w:rPr>
                <w:noProof/>
                <w:webHidden/>
              </w:rPr>
              <w:t>3</w:t>
            </w:r>
            <w:r w:rsidR="006E230A">
              <w:rPr>
                <w:noProof/>
                <w:webHidden/>
              </w:rPr>
              <w:fldChar w:fldCharType="end"/>
            </w:r>
          </w:hyperlink>
        </w:p>
        <w:p w14:paraId="63747892" w14:textId="25CC2517" w:rsidR="006E230A" w:rsidRDefault="009143C5">
          <w:pPr>
            <w:pStyle w:val="TOC2"/>
            <w:tabs>
              <w:tab w:val="right" w:leader="dot" w:pos="9350"/>
            </w:tabs>
            <w:rPr>
              <w:rFonts w:eastAsiaTheme="minorEastAsia"/>
              <w:noProof/>
            </w:rPr>
          </w:pPr>
          <w:hyperlink w:anchor="_Toc80957406" w:history="1">
            <w:r w:rsidR="006E230A" w:rsidRPr="006371A8">
              <w:rPr>
                <w:rStyle w:val="Hyperlink"/>
                <w:noProof/>
              </w:rPr>
              <w:t>ELIGIBILITY</w:t>
            </w:r>
            <w:r w:rsidR="006E230A">
              <w:rPr>
                <w:noProof/>
                <w:webHidden/>
              </w:rPr>
              <w:tab/>
            </w:r>
            <w:r w:rsidR="006E230A">
              <w:rPr>
                <w:noProof/>
                <w:webHidden/>
              </w:rPr>
              <w:fldChar w:fldCharType="begin"/>
            </w:r>
            <w:r w:rsidR="006E230A">
              <w:rPr>
                <w:noProof/>
                <w:webHidden/>
              </w:rPr>
              <w:instrText xml:space="preserve"> PAGEREF _Toc80957406 \h </w:instrText>
            </w:r>
            <w:r w:rsidR="006E230A">
              <w:rPr>
                <w:noProof/>
                <w:webHidden/>
              </w:rPr>
            </w:r>
            <w:r w:rsidR="006E230A">
              <w:rPr>
                <w:noProof/>
                <w:webHidden/>
              </w:rPr>
              <w:fldChar w:fldCharType="separate"/>
            </w:r>
            <w:r w:rsidR="00BC170B">
              <w:rPr>
                <w:noProof/>
                <w:webHidden/>
              </w:rPr>
              <w:t>3</w:t>
            </w:r>
            <w:r w:rsidR="006E230A">
              <w:rPr>
                <w:noProof/>
                <w:webHidden/>
              </w:rPr>
              <w:fldChar w:fldCharType="end"/>
            </w:r>
          </w:hyperlink>
        </w:p>
        <w:p w14:paraId="064266BD" w14:textId="505CE519" w:rsidR="006E230A" w:rsidRDefault="009143C5">
          <w:pPr>
            <w:pStyle w:val="TOC2"/>
            <w:tabs>
              <w:tab w:val="right" w:leader="dot" w:pos="9350"/>
            </w:tabs>
            <w:rPr>
              <w:rFonts w:eastAsiaTheme="minorEastAsia"/>
              <w:noProof/>
            </w:rPr>
          </w:pPr>
          <w:hyperlink w:anchor="_Toc80957407" w:history="1">
            <w:r w:rsidR="006E230A" w:rsidRPr="006371A8">
              <w:rPr>
                <w:rStyle w:val="Hyperlink"/>
                <w:noProof/>
              </w:rPr>
              <w:t>HIGH-DEMAND OCCUPATIONS</w:t>
            </w:r>
            <w:r w:rsidR="006E230A">
              <w:rPr>
                <w:noProof/>
                <w:webHidden/>
              </w:rPr>
              <w:tab/>
            </w:r>
            <w:r w:rsidR="006E230A">
              <w:rPr>
                <w:noProof/>
                <w:webHidden/>
              </w:rPr>
              <w:fldChar w:fldCharType="begin"/>
            </w:r>
            <w:r w:rsidR="006E230A">
              <w:rPr>
                <w:noProof/>
                <w:webHidden/>
              </w:rPr>
              <w:instrText xml:space="preserve"> PAGEREF _Toc80957407 \h </w:instrText>
            </w:r>
            <w:r w:rsidR="006E230A">
              <w:rPr>
                <w:noProof/>
                <w:webHidden/>
              </w:rPr>
            </w:r>
            <w:r w:rsidR="006E230A">
              <w:rPr>
                <w:noProof/>
                <w:webHidden/>
              </w:rPr>
              <w:fldChar w:fldCharType="end"/>
            </w:r>
          </w:hyperlink>
          <w:r w:rsidR="00810E73">
            <w:rPr>
              <w:noProof/>
            </w:rPr>
            <w:t>4</w:t>
          </w:r>
        </w:p>
        <w:p w14:paraId="3C6C1124" w14:textId="3902A834" w:rsidR="006E230A" w:rsidRDefault="009143C5">
          <w:pPr>
            <w:pStyle w:val="TOC2"/>
            <w:tabs>
              <w:tab w:val="right" w:leader="dot" w:pos="9350"/>
            </w:tabs>
            <w:rPr>
              <w:rFonts w:eastAsiaTheme="minorEastAsia"/>
              <w:noProof/>
            </w:rPr>
          </w:pPr>
          <w:hyperlink w:anchor="_Toc80957408" w:history="1">
            <w:r w:rsidR="00BC170B">
              <w:rPr>
                <w:rStyle w:val="Hyperlink"/>
                <w:noProof/>
              </w:rPr>
              <w:t xml:space="preserve">ALLOWABLE/UNALLOWABLE </w:t>
            </w:r>
            <w:r w:rsidR="006E230A" w:rsidRPr="006371A8">
              <w:rPr>
                <w:rStyle w:val="Hyperlink"/>
                <w:noProof/>
              </w:rPr>
              <w:t>USES OF FUNDS</w:t>
            </w:r>
            <w:r w:rsidR="006E230A">
              <w:rPr>
                <w:noProof/>
                <w:webHidden/>
              </w:rPr>
              <w:tab/>
            </w:r>
            <w:r w:rsidR="006E230A">
              <w:rPr>
                <w:noProof/>
                <w:webHidden/>
              </w:rPr>
              <w:fldChar w:fldCharType="begin"/>
            </w:r>
            <w:r w:rsidR="006E230A">
              <w:rPr>
                <w:noProof/>
                <w:webHidden/>
              </w:rPr>
              <w:instrText xml:space="preserve"> PAGEREF _Toc80957408 \h </w:instrText>
            </w:r>
            <w:r w:rsidR="006E230A">
              <w:rPr>
                <w:noProof/>
                <w:webHidden/>
              </w:rPr>
            </w:r>
            <w:r w:rsidR="006E230A">
              <w:rPr>
                <w:noProof/>
                <w:webHidden/>
              </w:rPr>
              <w:fldChar w:fldCharType="separate"/>
            </w:r>
            <w:r w:rsidR="00BC170B">
              <w:rPr>
                <w:noProof/>
                <w:webHidden/>
              </w:rPr>
              <w:t>4</w:t>
            </w:r>
            <w:r w:rsidR="006E230A">
              <w:rPr>
                <w:noProof/>
                <w:webHidden/>
              </w:rPr>
              <w:fldChar w:fldCharType="end"/>
            </w:r>
          </w:hyperlink>
        </w:p>
        <w:p w14:paraId="18DA5990" w14:textId="13F5E9E9" w:rsidR="006E230A" w:rsidRDefault="009143C5">
          <w:pPr>
            <w:pStyle w:val="TOC2"/>
            <w:tabs>
              <w:tab w:val="right" w:leader="dot" w:pos="9350"/>
            </w:tabs>
            <w:rPr>
              <w:rFonts w:eastAsiaTheme="minorEastAsia"/>
              <w:noProof/>
            </w:rPr>
          </w:pPr>
          <w:hyperlink w:anchor="_Toc80957409" w:history="1">
            <w:r w:rsidR="006E230A" w:rsidRPr="006371A8">
              <w:rPr>
                <w:rStyle w:val="Hyperlink"/>
                <w:noProof/>
              </w:rPr>
              <w:t>GRANT APPLICATION</w:t>
            </w:r>
            <w:r w:rsidR="006E230A">
              <w:rPr>
                <w:noProof/>
                <w:webHidden/>
              </w:rPr>
              <w:tab/>
            </w:r>
            <w:r w:rsidR="006E230A">
              <w:rPr>
                <w:noProof/>
                <w:webHidden/>
              </w:rPr>
              <w:fldChar w:fldCharType="begin"/>
            </w:r>
            <w:r w:rsidR="006E230A">
              <w:rPr>
                <w:noProof/>
                <w:webHidden/>
              </w:rPr>
              <w:instrText xml:space="preserve"> PAGEREF _Toc80957409 \h </w:instrText>
            </w:r>
            <w:r w:rsidR="006E230A">
              <w:rPr>
                <w:noProof/>
                <w:webHidden/>
              </w:rPr>
            </w:r>
            <w:r w:rsidR="006E230A">
              <w:rPr>
                <w:noProof/>
                <w:webHidden/>
              </w:rPr>
              <w:fldChar w:fldCharType="separate"/>
            </w:r>
            <w:r w:rsidR="00BC170B">
              <w:rPr>
                <w:noProof/>
                <w:webHidden/>
              </w:rPr>
              <w:t>4</w:t>
            </w:r>
            <w:r w:rsidR="006E230A">
              <w:rPr>
                <w:noProof/>
                <w:webHidden/>
              </w:rPr>
              <w:fldChar w:fldCharType="end"/>
            </w:r>
          </w:hyperlink>
        </w:p>
        <w:p w14:paraId="0BAAA7BB" w14:textId="30901ECE" w:rsidR="006E230A" w:rsidRDefault="009143C5">
          <w:pPr>
            <w:pStyle w:val="TOC2"/>
            <w:tabs>
              <w:tab w:val="right" w:leader="dot" w:pos="9350"/>
            </w:tabs>
            <w:rPr>
              <w:rFonts w:eastAsiaTheme="minorEastAsia"/>
              <w:noProof/>
            </w:rPr>
          </w:pPr>
          <w:hyperlink w:anchor="_Toc80957410" w:history="1">
            <w:r w:rsidR="006E230A" w:rsidRPr="006371A8">
              <w:rPr>
                <w:rStyle w:val="Hyperlink"/>
                <w:noProof/>
              </w:rPr>
              <w:t>TIMELINE</w:t>
            </w:r>
            <w:r>
              <w:rPr>
                <w:rStyle w:val="Hyperlink"/>
                <w:noProof/>
              </w:rPr>
              <w:t>……………………………………………………………………………………………………………………………………………..</w:t>
            </w:r>
            <w:r>
              <w:rPr>
                <w:noProof/>
                <w:webHidden/>
              </w:rPr>
              <w:t>5</w:t>
            </w:r>
          </w:hyperlink>
        </w:p>
        <w:p w14:paraId="2CF1702D" w14:textId="4243CC1C" w:rsidR="006E230A" w:rsidRDefault="009143C5">
          <w:pPr>
            <w:pStyle w:val="TOC2"/>
            <w:tabs>
              <w:tab w:val="right" w:leader="dot" w:pos="9350"/>
            </w:tabs>
            <w:rPr>
              <w:rFonts w:eastAsiaTheme="minorEastAsia"/>
              <w:noProof/>
            </w:rPr>
          </w:pPr>
          <w:hyperlink w:anchor="_Toc80957411" w:history="1">
            <w:r w:rsidR="006E230A" w:rsidRPr="006371A8">
              <w:rPr>
                <w:rStyle w:val="Hyperlink"/>
                <w:noProof/>
              </w:rPr>
              <w:t>PROGRAM SUMMARY</w:t>
            </w:r>
            <w:r w:rsidR="006E230A">
              <w:rPr>
                <w:noProof/>
                <w:webHidden/>
              </w:rPr>
              <w:tab/>
            </w:r>
            <w:r w:rsidR="006E230A">
              <w:rPr>
                <w:noProof/>
                <w:webHidden/>
              </w:rPr>
              <w:fldChar w:fldCharType="begin"/>
            </w:r>
            <w:r w:rsidR="006E230A">
              <w:rPr>
                <w:noProof/>
                <w:webHidden/>
              </w:rPr>
              <w:instrText xml:space="preserve"> PAGEREF _Toc80957411 \h </w:instrText>
            </w:r>
            <w:r w:rsidR="006E230A">
              <w:rPr>
                <w:noProof/>
                <w:webHidden/>
              </w:rPr>
            </w:r>
            <w:r w:rsidR="006E230A">
              <w:rPr>
                <w:noProof/>
                <w:webHidden/>
              </w:rPr>
              <w:fldChar w:fldCharType="separate"/>
            </w:r>
            <w:r w:rsidR="00BC170B">
              <w:rPr>
                <w:noProof/>
                <w:webHidden/>
              </w:rPr>
              <w:t>5</w:t>
            </w:r>
            <w:r w:rsidR="006E230A">
              <w:rPr>
                <w:noProof/>
                <w:webHidden/>
              </w:rPr>
              <w:fldChar w:fldCharType="end"/>
            </w:r>
          </w:hyperlink>
        </w:p>
        <w:p w14:paraId="45692D83" w14:textId="3FFAB6FB" w:rsidR="006E230A" w:rsidRDefault="009143C5" w:rsidP="00BC170B">
          <w:pPr>
            <w:pStyle w:val="TOC1"/>
            <w:rPr>
              <w:rFonts w:eastAsiaTheme="minorEastAsia"/>
            </w:rPr>
          </w:pPr>
          <w:hyperlink w:anchor="_Toc80957412" w:history="1">
            <w:r w:rsidR="006E230A" w:rsidRPr="006371A8">
              <w:rPr>
                <w:rStyle w:val="Hyperlink"/>
              </w:rPr>
              <w:t>GENERAL GUIDANCE</w:t>
            </w:r>
            <w:r w:rsidR="006E230A">
              <w:rPr>
                <w:webHidden/>
              </w:rPr>
              <w:tab/>
            </w:r>
            <w:r w:rsidR="006E230A">
              <w:rPr>
                <w:webHidden/>
              </w:rPr>
              <w:fldChar w:fldCharType="begin"/>
            </w:r>
            <w:r w:rsidR="006E230A">
              <w:rPr>
                <w:webHidden/>
              </w:rPr>
              <w:instrText xml:space="preserve"> PAGEREF _Toc80957412 \h </w:instrText>
            </w:r>
            <w:r w:rsidR="006E230A">
              <w:rPr>
                <w:webHidden/>
              </w:rPr>
            </w:r>
            <w:r w:rsidR="006E230A">
              <w:rPr>
                <w:webHidden/>
              </w:rPr>
              <w:fldChar w:fldCharType="separate"/>
            </w:r>
            <w:r w:rsidR="00BC170B">
              <w:rPr>
                <w:webHidden/>
              </w:rPr>
              <w:t>5</w:t>
            </w:r>
            <w:r w:rsidR="006E230A">
              <w:rPr>
                <w:webHidden/>
              </w:rPr>
              <w:fldChar w:fldCharType="end"/>
            </w:r>
          </w:hyperlink>
        </w:p>
        <w:p w14:paraId="6F03D926" w14:textId="153E9BA5" w:rsidR="006E230A" w:rsidRDefault="009143C5">
          <w:pPr>
            <w:pStyle w:val="TOC2"/>
            <w:tabs>
              <w:tab w:val="right" w:leader="dot" w:pos="9350"/>
            </w:tabs>
            <w:rPr>
              <w:rFonts w:eastAsiaTheme="minorEastAsia"/>
              <w:noProof/>
            </w:rPr>
          </w:pPr>
          <w:hyperlink w:anchor="_Toc80957413" w:history="1">
            <w:r w:rsidR="006E230A" w:rsidRPr="006371A8">
              <w:rPr>
                <w:rStyle w:val="Hyperlink"/>
                <w:noProof/>
              </w:rPr>
              <w:t>PERIOD OF ALLOWABLE USE</w:t>
            </w:r>
            <w:r w:rsidR="006E230A">
              <w:rPr>
                <w:noProof/>
                <w:webHidden/>
              </w:rPr>
              <w:tab/>
            </w:r>
            <w:r w:rsidR="006E230A">
              <w:rPr>
                <w:noProof/>
                <w:webHidden/>
              </w:rPr>
              <w:fldChar w:fldCharType="begin"/>
            </w:r>
            <w:r w:rsidR="006E230A">
              <w:rPr>
                <w:noProof/>
                <w:webHidden/>
              </w:rPr>
              <w:instrText xml:space="preserve"> PAGEREF _Toc80957413 \h </w:instrText>
            </w:r>
            <w:r w:rsidR="006E230A">
              <w:rPr>
                <w:noProof/>
                <w:webHidden/>
              </w:rPr>
            </w:r>
            <w:r w:rsidR="006E230A">
              <w:rPr>
                <w:noProof/>
                <w:webHidden/>
              </w:rPr>
              <w:fldChar w:fldCharType="separate"/>
            </w:r>
            <w:r w:rsidR="00BC170B">
              <w:rPr>
                <w:noProof/>
                <w:webHidden/>
              </w:rPr>
              <w:t>5</w:t>
            </w:r>
            <w:r w:rsidR="006E230A">
              <w:rPr>
                <w:noProof/>
                <w:webHidden/>
              </w:rPr>
              <w:fldChar w:fldCharType="end"/>
            </w:r>
          </w:hyperlink>
        </w:p>
        <w:p w14:paraId="01AE697D" w14:textId="5F7829AB" w:rsidR="006E230A" w:rsidRDefault="009143C5">
          <w:pPr>
            <w:pStyle w:val="TOC2"/>
            <w:tabs>
              <w:tab w:val="right" w:leader="dot" w:pos="9350"/>
            </w:tabs>
            <w:rPr>
              <w:rFonts w:eastAsiaTheme="minorEastAsia"/>
              <w:noProof/>
            </w:rPr>
          </w:pPr>
          <w:hyperlink w:anchor="_Toc80957414" w:history="1">
            <w:r w:rsidR="006E230A" w:rsidRPr="006371A8">
              <w:rPr>
                <w:rStyle w:val="Hyperlink"/>
                <w:noProof/>
              </w:rPr>
              <w:t>BONUSES, STIPENDS, AND EXTRA-DUTY PAY</w:t>
            </w:r>
            <w:r w:rsidR="006E230A">
              <w:rPr>
                <w:noProof/>
                <w:webHidden/>
              </w:rPr>
              <w:tab/>
            </w:r>
            <w:r w:rsidR="00FA7D9A">
              <w:rPr>
                <w:noProof/>
                <w:webHidden/>
              </w:rPr>
              <w:t>5</w:t>
            </w:r>
          </w:hyperlink>
        </w:p>
        <w:p w14:paraId="1B119C6E" w14:textId="4BA17CE9" w:rsidR="006E230A" w:rsidRDefault="009143C5">
          <w:pPr>
            <w:pStyle w:val="TOC2"/>
            <w:tabs>
              <w:tab w:val="right" w:leader="dot" w:pos="9350"/>
            </w:tabs>
            <w:rPr>
              <w:rFonts w:eastAsiaTheme="minorEastAsia"/>
              <w:noProof/>
            </w:rPr>
          </w:pPr>
          <w:hyperlink w:anchor="_Toc80957415" w:history="1">
            <w:r w:rsidR="006E230A" w:rsidRPr="006371A8">
              <w:rPr>
                <w:rStyle w:val="Hyperlink"/>
                <w:noProof/>
              </w:rPr>
              <w:t>TIME AND EFFORT</w:t>
            </w:r>
            <w:r w:rsidR="006E230A">
              <w:rPr>
                <w:noProof/>
                <w:webHidden/>
              </w:rPr>
              <w:tab/>
            </w:r>
            <w:r w:rsidR="00FA7D9A">
              <w:rPr>
                <w:noProof/>
                <w:webHidden/>
              </w:rPr>
              <w:t>6</w:t>
            </w:r>
          </w:hyperlink>
        </w:p>
        <w:p w14:paraId="0DAAEE66" w14:textId="7F8B8B40" w:rsidR="006E230A" w:rsidRDefault="009143C5">
          <w:pPr>
            <w:pStyle w:val="TOC2"/>
            <w:tabs>
              <w:tab w:val="right" w:leader="dot" w:pos="9350"/>
            </w:tabs>
            <w:rPr>
              <w:rFonts w:eastAsiaTheme="minorEastAsia"/>
              <w:noProof/>
            </w:rPr>
          </w:pPr>
          <w:hyperlink w:anchor="_Toc80957416" w:history="1">
            <w:r w:rsidR="006E230A" w:rsidRPr="006371A8">
              <w:rPr>
                <w:rStyle w:val="Hyperlink"/>
                <w:noProof/>
              </w:rPr>
              <w:t xml:space="preserve">EQUITABLE SERVICES UNDER </w:t>
            </w:r>
            <w:r w:rsidR="00810E73">
              <w:rPr>
                <w:rStyle w:val="Hyperlink"/>
                <w:noProof/>
              </w:rPr>
              <w:t>ARPA</w:t>
            </w:r>
            <w:r w:rsidR="006E230A">
              <w:rPr>
                <w:noProof/>
                <w:webHidden/>
              </w:rPr>
              <w:tab/>
            </w:r>
            <w:r w:rsidR="006E230A">
              <w:rPr>
                <w:noProof/>
                <w:webHidden/>
              </w:rPr>
              <w:fldChar w:fldCharType="begin"/>
            </w:r>
            <w:r w:rsidR="006E230A">
              <w:rPr>
                <w:noProof/>
                <w:webHidden/>
              </w:rPr>
              <w:instrText xml:space="preserve"> PAGEREF _Toc80957416 \h </w:instrText>
            </w:r>
            <w:r w:rsidR="006E230A">
              <w:rPr>
                <w:noProof/>
                <w:webHidden/>
              </w:rPr>
            </w:r>
            <w:r w:rsidR="006E230A">
              <w:rPr>
                <w:noProof/>
                <w:webHidden/>
              </w:rPr>
              <w:fldChar w:fldCharType="separate"/>
            </w:r>
            <w:r w:rsidR="00BC170B">
              <w:rPr>
                <w:noProof/>
                <w:webHidden/>
              </w:rPr>
              <w:t>6</w:t>
            </w:r>
            <w:r w:rsidR="006E230A">
              <w:rPr>
                <w:noProof/>
                <w:webHidden/>
              </w:rPr>
              <w:fldChar w:fldCharType="end"/>
            </w:r>
          </w:hyperlink>
        </w:p>
        <w:p w14:paraId="71887FA4" w14:textId="3ED0CCB8" w:rsidR="006E230A" w:rsidRDefault="009143C5">
          <w:pPr>
            <w:pStyle w:val="TOC2"/>
            <w:tabs>
              <w:tab w:val="right" w:leader="dot" w:pos="9350"/>
            </w:tabs>
            <w:rPr>
              <w:rFonts w:eastAsiaTheme="minorEastAsia"/>
              <w:noProof/>
            </w:rPr>
          </w:pPr>
          <w:hyperlink w:anchor="_Toc80957417" w:history="1">
            <w:r w:rsidR="006E230A" w:rsidRPr="006371A8">
              <w:rPr>
                <w:rStyle w:val="Hyperlink"/>
                <w:noProof/>
              </w:rPr>
              <w:t>SUPPLEMENT NOT SUPPLANT</w:t>
            </w:r>
            <w:r w:rsidR="006E230A">
              <w:rPr>
                <w:noProof/>
                <w:webHidden/>
              </w:rPr>
              <w:tab/>
            </w:r>
            <w:r w:rsidR="006E230A">
              <w:rPr>
                <w:noProof/>
                <w:webHidden/>
              </w:rPr>
              <w:fldChar w:fldCharType="begin"/>
            </w:r>
            <w:r w:rsidR="006E230A">
              <w:rPr>
                <w:noProof/>
                <w:webHidden/>
              </w:rPr>
              <w:instrText xml:space="preserve"> PAGEREF _Toc80957417 \h </w:instrText>
            </w:r>
            <w:r w:rsidR="006E230A">
              <w:rPr>
                <w:noProof/>
                <w:webHidden/>
              </w:rPr>
            </w:r>
            <w:r w:rsidR="006E230A">
              <w:rPr>
                <w:noProof/>
                <w:webHidden/>
              </w:rPr>
              <w:fldChar w:fldCharType="separate"/>
            </w:r>
            <w:r w:rsidR="00BC170B">
              <w:rPr>
                <w:noProof/>
                <w:webHidden/>
              </w:rPr>
              <w:t>6</w:t>
            </w:r>
            <w:r w:rsidR="006E230A">
              <w:rPr>
                <w:noProof/>
                <w:webHidden/>
              </w:rPr>
              <w:fldChar w:fldCharType="end"/>
            </w:r>
          </w:hyperlink>
        </w:p>
        <w:p w14:paraId="1C95A673" w14:textId="275BBCE0" w:rsidR="006E230A" w:rsidRDefault="009143C5">
          <w:pPr>
            <w:pStyle w:val="TOC2"/>
            <w:tabs>
              <w:tab w:val="right" w:leader="dot" w:pos="9350"/>
            </w:tabs>
            <w:rPr>
              <w:rFonts w:eastAsiaTheme="minorEastAsia"/>
              <w:noProof/>
            </w:rPr>
          </w:pPr>
          <w:hyperlink w:anchor="_Toc80957418" w:history="1">
            <w:r w:rsidR="006E230A" w:rsidRPr="006371A8">
              <w:rPr>
                <w:rStyle w:val="Hyperlink"/>
                <w:noProof/>
              </w:rPr>
              <w:t>OBLIGATION OF FUNDS</w:t>
            </w:r>
            <w:r w:rsidR="006E230A">
              <w:rPr>
                <w:noProof/>
                <w:webHidden/>
              </w:rPr>
              <w:tab/>
            </w:r>
            <w:r w:rsidR="006E230A">
              <w:rPr>
                <w:noProof/>
                <w:webHidden/>
              </w:rPr>
              <w:fldChar w:fldCharType="begin"/>
            </w:r>
            <w:r w:rsidR="006E230A">
              <w:rPr>
                <w:noProof/>
                <w:webHidden/>
              </w:rPr>
              <w:instrText xml:space="preserve"> PAGEREF _Toc80957418 \h </w:instrText>
            </w:r>
            <w:r w:rsidR="006E230A">
              <w:rPr>
                <w:noProof/>
                <w:webHidden/>
              </w:rPr>
            </w:r>
            <w:r w:rsidR="006E230A">
              <w:rPr>
                <w:noProof/>
                <w:webHidden/>
              </w:rPr>
              <w:fldChar w:fldCharType="separate"/>
            </w:r>
            <w:r w:rsidR="00BC170B">
              <w:rPr>
                <w:noProof/>
                <w:webHidden/>
              </w:rPr>
              <w:t>6</w:t>
            </w:r>
            <w:r w:rsidR="006E230A">
              <w:rPr>
                <w:noProof/>
                <w:webHidden/>
              </w:rPr>
              <w:fldChar w:fldCharType="end"/>
            </w:r>
          </w:hyperlink>
        </w:p>
        <w:p w14:paraId="341F4499" w14:textId="403CB1F8" w:rsidR="006E230A" w:rsidRDefault="009143C5">
          <w:pPr>
            <w:pStyle w:val="TOC2"/>
            <w:tabs>
              <w:tab w:val="right" w:leader="dot" w:pos="9350"/>
            </w:tabs>
            <w:rPr>
              <w:rFonts w:eastAsiaTheme="minorEastAsia"/>
              <w:noProof/>
            </w:rPr>
          </w:pPr>
          <w:hyperlink w:anchor="_Toc80957419" w:history="1">
            <w:r w:rsidR="006E230A" w:rsidRPr="006371A8">
              <w:rPr>
                <w:rStyle w:val="Hyperlink"/>
                <w:noProof/>
              </w:rPr>
              <w:t>CASH MANAGEMENT IMPROVEMENT ACT (CMIA)</w:t>
            </w:r>
            <w:r w:rsidR="006E230A">
              <w:rPr>
                <w:noProof/>
                <w:webHidden/>
              </w:rPr>
              <w:tab/>
            </w:r>
            <w:r w:rsidR="006E230A">
              <w:rPr>
                <w:noProof/>
                <w:webHidden/>
              </w:rPr>
              <w:fldChar w:fldCharType="begin"/>
            </w:r>
            <w:r w:rsidR="006E230A">
              <w:rPr>
                <w:noProof/>
                <w:webHidden/>
              </w:rPr>
              <w:instrText xml:space="preserve"> PAGEREF _Toc80957419 \h </w:instrText>
            </w:r>
            <w:r w:rsidR="006E230A">
              <w:rPr>
                <w:noProof/>
                <w:webHidden/>
              </w:rPr>
            </w:r>
            <w:r w:rsidR="006E230A">
              <w:rPr>
                <w:noProof/>
                <w:webHidden/>
              </w:rPr>
              <w:fldChar w:fldCharType="separate"/>
            </w:r>
            <w:r w:rsidR="00BC170B">
              <w:rPr>
                <w:noProof/>
                <w:webHidden/>
              </w:rPr>
              <w:t>7</w:t>
            </w:r>
            <w:r w:rsidR="006E230A">
              <w:rPr>
                <w:noProof/>
                <w:webHidden/>
              </w:rPr>
              <w:fldChar w:fldCharType="end"/>
            </w:r>
          </w:hyperlink>
        </w:p>
        <w:p w14:paraId="2E976B9D" w14:textId="34168A09" w:rsidR="006E230A" w:rsidRDefault="009143C5">
          <w:pPr>
            <w:pStyle w:val="TOC2"/>
            <w:tabs>
              <w:tab w:val="right" w:leader="dot" w:pos="9350"/>
            </w:tabs>
            <w:rPr>
              <w:rFonts w:eastAsiaTheme="minorEastAsia"/>
              <w:noProof/>
            </w:rPr>
          </w:pPr>
          <w:hyperlink w:anchor="_Toc80957420" w:history="1">
            <w:r w:rsidR="006E230A" w:rsidRPr="006371A8">
              <w:rPr>
                <w:rStyle w:val="Hyperlink"/>
                <w:noProof/>
              </w:rPr>
              <w:t>FINANCE CODING</w:t>
            </w:r>
            <w:r w:rsidR="006E230A">
              <w:rPr>
                <w:noProof/>
                <w:webHidden/>
              </w:rPr>
              <w:tab/>
            </w:r>
            <w:r w:rsidR="006E230A">
              <w:rPr>
                <w:noProof/>
                <w:webHidden/>
              </w:rPr>
              <w:fldChar w:fldCharType="begin"/>
            </w:r>
            <w:r w:rsidR="006E230A">
              <w:rPr>
                <w:noProof/>
                <w:webHidden/>
              </w:rPr>
              <w:instrText xml:space="preserve"> PAGEREF _Toc80957420 \h </w:instrText>
            </w:r>
            <w:r w:rsidR="006E230A">
              <w:rPr>
                <w:noProof/>
                <w:webHidden/>
              </w:rPr>
            </w:r>
            <w:r w:rsidR="006E230A">
              <w:rPr>
                <w:noProof/>
                <w:webHidden/>
              </w:rPr>
              <w:fldChar w:fldCharType="separate"/>
            </w:r>
            <w:r w:rsidR="00BC170B">
              <w:rPr>
                <w:noProof/>
                <w:webHidden/>
              </w:rPr>
              <w:t>7</w:t>
            </w:r>
            <w:r w:rsidR="006E230A">
              <w:rPr>
                <w:noProof/>
                <w:webHidden/>
              </w:rPr>
              <w:fldChar w:fldCharType="end"/>
            </w:r>
          </w:hyperlink>
        </w:p>
        <w:p w14:paraId="02082B33" w14:textId="07B9835E" w:rsidR="006E230A" w:rsidRDefault="009143C5">
          <w:pPr>
            <w:pStyle w:val="TOC2"/>
            <w:tabs>
              <w:tab w:val="right" w:leader="dot" w:pos="9350"/>
            </w:tabs>
            <w:rPr>
              <w:rFonts w:eastAsiaTheme="minorEastAsia"/>
              <w:noProof/>
            </w:rPr>
          </w:pPr>
          <w:hyperlink w:anchor="_Toc80957421" w:history="1">
            <w:r w:rsidR="006E230A" w:rsidRPr="006371A8">
              <w:rPr>
                <w:rStyle w:val="Hyperlink"/>
                <w:noProof/>
              </w:rPr>
              <w:t>DOCUMENTATION OF EXPENDITURES</w:t>
            </w:r>
            <w:r w:rsidR="006E230A">
              <w:rPr>
                <w:noProof/>
                <w:webHidden/>
              </w:rPr>
              <w:tab/>
            </w:r>
            <w:r w:rsidR="006E230A">
              <w:rPr>
                <w:noProof/>
                <w:webHidden/>
              </w:rPr>
              <w:fldChar w:fldCharType="begin"/>
            </w:r>
            <w:r w:rsidR="006E230A">
              <w:rPr>
                <w:noProof/>
                <w:webHidden/>
              </w:rPr>
              <w:instrText xml:space="preserve"> PAGEREF _Toc80957421 \h </w:instrText>
            </w:r>
            <w:r w:rsidR="006E230A">
              <w:rPr>
                <w:noProof/>
                <w:webHidden/>
              </w:rPr>
            </w:r>
            <w:r w:rsidR="006E230A">
              <w:rPr>
                <w:noProof/>
                <w:webHidden/>
              </w:rPr>
              <w:fldChar w:fldCharType="separate"/>
            </w:r>
            <w:r w:rsidR="00BC170B">
              <w:rPr>
                <w:noProof/>
                <w:webHidden/>
              </w:rPr>
              <w:t>7</w:t>
            </w:r>
            <w:r w:rsidR="006E230A">
              <w:rPr>
                <w:noProof/>
                <w:webHidden/>
              </w:rPr>
              <w:fldChar w:fldCharType="end"/>
            </w:r>
          </w:hyperlink>
        </w:p>
        <w:p w14:paraId="0E6DE9BE" w14:textId="1393CED5" w:rsidR="006E230A" w:rsidRDefault="009143C5">
          <w:pPr>
            <w:pStyle w:val="TOC2"/>
            <w:tabs>
              <w:tab w:val="right" w:leader="dot" w:pos="9350"/>
            </w:tabs>
            <w:rPr>
              <w:noProof/>
            </w:rPr>
          </w:pPr>
          <w:hyperlink w:anchor="_Toc80957422" w:history="1">
            <w:r w:rsidR="006E230A" w:rsidRPr="006371A8">
              <w:rPr>
                <w:rStyle w:val="Hyperlink"/>
                <w:noProof/>
              </w:rPr>
              <w:t>LEA REPORTING REQUIREMENTS</w:t>
            </w:r>
            <w:r w:rsidR="006E230A">
              <w:rPr>
                <w:noProof/>
                <w:webHidden/>
              </w:rPr>
              <w:tab/>
            </w:r>
            <w:r w:rsidR="006E230A">
              <w:rPr>
                <w:noProof/>
                <w:webHidden/>
              </w:rPr>
              <w:fldChar w:fldCharType="begin"/>
            </w:r>
            <w:r w:rsidR="006E230A">
              <w:rPr>
                <w:noProof/>
                <w:webHidden/>
              </w:rPr>
              <w:instrText xml:space="preserve"> PAGEREF _Toc80957422 \h </w:instrText>
            </w:r>
            <w:r w:rsidR="006E230A">
              <w:rPr>
                <w:noProof/>
                <w:webHidden/>
              </w:rPr>
            </w:r>
            <w:r w:rsidR="006E230A">
              <w:rPr>
                <w:noProof/>
                <w:webHidden/>
              </w:rPr>
              <w:fldChar w:fldCharType="separate"/>
            </w:r>
            <w:r w:rsidR="00BC170B">
              <w:rPr>
                <w:noProof/>
                <w:webHidden/>
              </w:rPr>
              <w:t>7</w:t>
            </w:r>
            <w:r w:rsidR="006E230A">
              <w:rPr>
                <w:noProof/>
                <w:webHidden/>
              </w:rPr>
              <w:fldChar w:fldCharType="end"/>
            </w:r>
          </w:hyperlink>
        </w:p>
        <w:p w14:paraId="28727C93" w14:textId="5CC50188" w:rsidR="00FA7D9A" w:rsidRPr="00FA7D9A" w:rsidRDefault="00FA7D9A" w:rsidP="00FA7D9A">
          <w:r>
            <w:t xml:space="preserve">     FINANCIAL MATCH REQIREMENT…………………….………………………………………………………………………………….8</w:t>
          </w:r>
        </w:p>
        <w:p w14:paraId="69971A03" w14:textId="6DAF4903" w:rsidR="006E230A" w:rsidRDefault="009143C5" w:rsidP="00BC170B">
          <w:pPr>
            <w:pStyle w:val="TOC1"/>
            <w:rPr>
              <w:rFonts w:eastAsiaTheme="minorEastAsia"/>
            </w:rPr>
          </w:pPr>
          <w:r>
            <w:t xml:space="preserve">     </w:t>
          </w:r>
          <w:hyperlink w:anchor="_Toc80957424" w:history="1">
            <w:r w:rsidR="006E230A" w:rsidRPr="006371A8">
              <w:rPr>
                <w:rStyle w:val="Hyperlink"/>
              </w:rPr>
              <w:t>CONTACT INFORMATION</w:t>
            </w:r>
            <w:r>
              <w:rPr>
                <w:rStyle w:val="Hyperlink"/>
              </w:rPr>
              <w:t>…………………………………………………………………………………………………………………….8</w:t>
            </w:r>
          </w:hyperlink>
        </w:p>
        <w:p w14:paraId="64CDDB06" w14:textId="484A6BFA" w:rsidR="006E230A" w:rsidRDefault="009143C5" w:rsidP="00BC170B">
          <w:pPr>
            <w:pStyle w:val="TOC1"/>
          </w:pPr>
          <w:r>
            <w:t xml:space="preserve">     </w:t>
          </w:r>
          <w:r w:rsidR="00304916">
            <w:t>APPENDIX A - APPLICATION PROCEDURES……………………………………</w:t>
          </w:r>
          <w:r>
            <w:t>……….</w:t>
          </w:r>
          <w:r w:rsidR="00304916">
            <w:t>…………………………………………….8</w:t>
          </w:r>
        </w:p>
        <w:p w14:paraId="7D440761" w14:textId="5A8726E9" w:rsidR="00304916" w:rsidRPr="00304916" w:rsidRDefault="009143C5" w:rsidP="00304916">
          <w:r>
            <w:t xml:space="preserve">     </w:t>
          </w:r>
          <w:r w:rsidR="00304916">
            <w:t>APPENDIX B - REIMBURSEMENT PROCEDURES...……………………………………………………………</w:t>
          </w:r>
          <w:r>
            <w:t>……….</w:t>
          </w:r>
          <w:r w:rsidR="00304916">
            <w:t>…………..8</w:t>
          </w:r>
        </w:p>
        <w:p w14:paraId="485871A3" w14:textId="77777777" w:rsidR="00BD60C5" w:rsidRDefault="00BD60C5">
          <w:r>
            <w:rPr>
              <w:b/>
              <w:bCs/>
              <w:noProof/>
            </w:rPr>
            <w:fldChar w:fldCharType="end"/>
          </w:r>
        </w:p>
      </w:sdtContent>
    </w:sdt>
    <w:p w14:paraId="040C48BE" w14:textId="77777777" w:rsidR="00123BAE" w:rsidRDefault="00123BAE">
      <w:r>
        <w:br w:type="page"/>
      </w:r>
    </w:p>
    <w:p w14:paraId="664F6249" w14:textId="77777777" w:rsidR="0058045F" w:rsidRDefault="00942FC9" w:rsidP="000468D7">
      <w:pPr>
        <w:pStyle w:val="Heading1"/>
      </w:pPr>
      <w:bookmarkStart w:id="1" w:name="_Toc80957402"/>
      <w:r>
        <w:lastRenderedPageBreak/>
        <w:t>INTRODUCTION AND PURPOSE OF THE DOCUMENT</w:t>
      </w:r>
      <w:bookmarkEnd w:id="1"/>
    </w:p>
    <w:p w14:paraId="0E7A6C61" w14:textId="3363A746" w:rsidR="0058045F" w:rsidRDefault="0058045F" w:rsidP="0058045F">
      <w:r>
        <w:rPr>
          <w:rFonts w:cstheme="minorHAnsi"/>
        </w:rPr>
        <w:t xml:space="preserve">The Missouri Department </w:t>
      </w:r>
      <w:r w:rsidRPr="00955324">
        <w:rPr>
          <w:rFonts w:cstheme="minorHAnsi"/>
        </w:rPr>
        <w:t xml:space="preserve">of Elementary and Secondary Education (DESE) </w:t>
      </w:r>
      <w:r w:rsidR="00411C0E">
        <w:rPr>
          <w:rFonts w:cstheme="minorHAnsi"/>
        </w:rPr>
        <w:t xml:space="preserve">is providing </w:t>
      </w:r>
      <w:r w:rsidRPr="00955324">
        <w:rPr>
          <w:rFonts w:cstheme="minorHAnsi"/>
        </w:rPr>
        <w:t>preliminary guidance to local education agencies (LEAs)</w:t>
      </w:r>
      <w:r w:rsidR="00817763">
        <w:rPr>
          <w:rFonts w:cstheme="minorHAnsi"/>
        </w:rPr>
        <w:t xml:space="preserve"> with Career and Technical Education (CTE) area career centers (here after referred to as LEAs)</w:t>
      </w:r>
      <w:r w:rsidRPr="00955324">
        <w:rPr>
          <w:rFonts w:cstheme="minorHAnsi"/>
        </w:rPr>
        <w:t xml:space="preserve"> regarding requirements associated with the</w:t>
      </w:r>
      <w:r w:rsidR="00411C0E">
        <w:rPr>
          <w:rFonts w:cstheme="minorHAnsi"/>
        </w:rPr>
        <w:t xml:space="preserve"> Missouri Area Career Center Opportunity (MACCO)</w:t>
      </w:r>
      <w:r w:rsidR="00817763">
        <w:rPr>
          <w:rFonts w:cstheme="minorHAnsi"/>
        </w:rPr>
        <w:t xml:space="preserve"> Grant</w:t>
      </w:r>
      <w:r w:rsidR="00411C0E">
        <w:rPr>
          <w:rFonts w:cstheme="minorHAnsi"/>
        </w:rPr>
        <w:t>, funded by the</w:t>
      </w:r>
      <w:r w:rsidRPr="00955324">
        <w:rPr>
          <w:rFonts w:cstheme="minorHAnsi"/>
        </w:rPr>
        <w:t xml:space="preserve"> </w:t>
      </w:r>
      <w:r w:rsidR="00454580">
        <w:rPr>
          <w:rFonts w:cstheme="minorHAnsi"/>
        </w:rPr>
        <w:t>American Rescue Plan Act (ARPA)</w:t>
      </w:r>
      <w:r w:rsidRPr="00955324">
        <w:rPr>
          <w:rFonts w:cstheme="minorHAnsi"/>
        </w:rPr>
        <w:t xml:space="preserve">. </w:t>
      </w:r>
      <w:r w:rsidR="000415AA">
        <w:rPr>
          <w:rFonts w:cstheme="minorHAnsi"/>
        </w:rPr>
        <w:t xml:space="preserve"> </w:t>
      </w:r>
      <w:r w:rsidR="00E071D1" w:rsidRPr="00A73E36">
        <w:t>This grant program will assist</w:t>
      </w:r>
      <w:r w:rsidR="007F0575" w:rsidRPr="00A73E36">
        <w:t xml:space="preserve"> the 57</w:t>
      </w:r>
      <w:r w:rsidR="00E071D1" w:rsidRPr="00A73E36">
        <w:t xml:space="preserve"> Missouri </w:t>
      </w:r>
      <w:r w:rsidR="00817763">
        <w:t xml:space="preserve">CTE </w:t>
      </w:r>
      <w:r w:rsidR="00E071D1" w:rsidRPr="00A73E36">
        <w:t>area career cen</w:t>
      </w:r>
      <w:r w:rsidR="00307134" w:rsidRPr="00A73E36">
        <w:t>t</w:t>
      </w:r>
      <w:r w:rsidR="00E071D1" w:rsidRPr="00A73E36">
        <w:t xml:space="preserve">ers in </w:t>
      </w:r>
      <w:r w:rsidR="00307134" w:rsidRPr="00A73E36">
        <w:t>modernizing</w:t>
      </w:r>
      <w:r w:rsidR="00E071D1" w:rsidRPr="00A73E36">
        <w:t xml:space="preserve">, updating, and/or expanding </w:t>
      </w:r>
      <w:r w:rsidR="00A73E36" w:rsidRPr="00A73E36">
        <w:t xml:space="preserve">infrastructure to provide </w:t>
      </w:r>
      <w:r w:rsidR="00E071D1" w:rsidRPr="00A73E36">
        <w:t>opportunities for students</w:t>
      </w:r>
      <w:r w:rsidR="00307134" w:rsidRPr="00A73E36">
        <w:t xml:space="preserve"> participating in CTE programs.</w:t>
      </w:r>
      <w:r w:rsidR="00307134">
        <w:t xml:space="preserve">  </w:t>
      </w:r>
      <w:r w:rsidR="00E071D1">
        <w:t xml:space="preserve"> </w:t>
      </w:r>
    </w:p>
    <w:p w14:paraId="1114F7C8" w14:textId="75A864D3" w:rsidR="00817763" w:rsidRDefault="00817763" w:rsidP="0058045F">
      <w:r>
        <w:t>The MACCO Grant is a matched grant, requiring LEAs to provide 25% funding to the State’s 75% funding.</w:t>
      </w:r>
    </w:p>
    <w:p w14:paraId="099C8142" w14:textId="1CC29B3F" w:rsidR="004C32A4" w:rsidRDefault="004C32A4" w:rsidP="004C32A4">
      <w:pPr>
        <w:spacing w:after="0" w:line="240" w:lineRule="auto"/>
        <w:rPr>
          <w:rFonts w:cstheme="minorHAnsi"/>
        </w:rPr>
      </w:pPr>
      <w:r w:rsidRPr="00955324">
        <w:rPr>
          <w:rFonts w:cstheme="minorHAnsi"/>
        </w:rPr>
        <w:t>To assist</w:t>
      </w:r>
      <w:r>
        <w:rPr>
          <w:rFonts w:cstheme="minorHAnsi"/>
        </w:rPr>
        <w:t xml:space="preserve"> LEAs with </w:t>
      </w:r>
      <w:r w:rsidR="00454580">
        <w:rPr>
          <w:rFonts w:cstheme="minorHAnsi"/>
        </w:rPr>
        <w:t>this grant</w:t>
      </w:r>
      <w:r>
        <w:rPr>
          <w:rFonts w:cstheme="minorHAnsi"/>
        </w:rPr>
        <w:t>,</w:t>
      </w:r>
      <w:r w:rsidRPr="00955324">
        <w:rPr>
          <w:rFonts w:cstheme="minorHAnsi"/>
        </w:rPr>
        <w:t xml:space="preserve"> DESE has prepared this guidance document detailing the </w:t>
      </w:r>
      <w:r>
        <w:rPr>
          <w:rFonts w:cstheme="minorHAnsi"/>
        </w:rPr>
        <w:t xml:space="preserve">purpose, </w:t>
      </w:r>
      <w:r w:rsidR="00817763">
        <w:rPr>
          <w:rFonts w:cstheme="minorHAnsi"/>
        </w:rPr>
        <w:t xml:space="preserve">eligibility, </w:t>
      </w:r>
      <w:r>
        <w:rPr>
          <w:rFonts w:cstheme="minorHAnsi"/>
        </w:rPr>
        <w:t xml:space="preserve">uses, </w:t>
      </w:r>
      <w:r w:rsidRPr="00955324">
        <w:rPr>
          <w:rFonts w:cstheme="minorHAnsi"/>
        </w:rPr>
        <w:t>deadlines</w:t>
      </w:r>
      <w:r>
        <w:rPr>
          <w:rFonts w:cstheme="minorHAnsi"/>
        </w:rPr>
        <w:t>,</w:t>
      </w:r>
      <w:r w:rsidRPr="00955324">
        <w:rPr>
          <w:rFonts w:cstheme="minorHAnsi"/>
        </w:rPr>
        <w:t xml:space="preserve"> and requirements </w:t>
      </w:r>
      <w:r w:rsidR="00411C0E">
        <w:rPr>
          <w:rFonts w:cstheme="minorHAnsi"/>
        </w:rPr>
        <w:t>for the MACCO</w:t>
      </w:r>
      <w:r>
        <w:rPr>
          <w:rFonts w:cstheme="minorHAnsi"/>
        </w:rPr>
        <w:t xml:space="preserve"> grant</w:t>
      </w:r>
      <w:r w:rsidR="00182F71">
        <w:rPr>
          <w:rFonts w:cstheme="minorHAnsi"/>
        </w:rPr>
        <w:t>.</w:t>
      </w:r>
    </w:p>
    <w:p w14:paraId="54178769" w14:textId="77777777" w:rsidR="00902807" w:rsidRDefault="00942FC9" w:rsidP="000468D7">
      <w:pPr>
        <w:pStyle w:val="Heading1"/>
      </w:pPr>
      <w:bookmarkStart w:id="2" w:name="_Toc80957403"/>
      <w:r>
        <w:t>BACKGROUND</w:t>
      </w:r>
      <w:bookmarkEnd w:id="2"/>
    </w:p>
    <w:p w14:paraId="25B29718" w14:textId="4F568644" w:rsidR="00182F71" w:rsidRPr="00A73E36" w:rsidRDefault="00781017" w:rsidP="00182F71">
      <w:r w:rsidRPr="00A73E36">
        <w:t>In 1965 Missouri developed a network of area career centers (formerly known as area vocational technical schools).  In total, 57 area career centers, approved by the Missouri State Board of Education, were constructed from 1965 to 1979.  Advancement</w:t>
      </w:r>
      <w:r w:rsidR="00817763">
        <w:t>s</w:t>
      </w:r>
      <w:r w:rsidRPr="00A73E36">
        <w:t xml:space="preserve"> in technology, recognition of high </w:t>
      </w:r>
      <w:r w:rsidR="00A73E36" w:rsidRPr="00A73E36">
        <w:t>demand occupational areas, and</w:t>
      </w:r>
      <w:r w:rsidRPr="00A73E36">
        <w:t xml:space="preserve"> growing student interest in CTE </w:t>
      </w:r>
      <w:r w:rsidRPr="00A73E36">
        <w:lastRenderedPageBreak/>
        <w:t>have</w:t>
      </w:r>
      <w:r w:rsidR="00A81139">
        <w:t xml:space="preserve"> led to Missouri’s</w:t>
      </w:r>
      <w:r w:rsidRPr="00A73E36">
        <w:t xml:space="preserve"> area career centers </w:t>
      </w:r>
      <w:r w:rsidR="00A81139">
        <w:t xml:space="preserve">requiring </w:t>
      </w:r>
      <w:r w:rsidR="00A73E36" w:rsidRPr="00A73E36">
        <w:t>infrastructure</w:t>
      </w:r>
      <w:r w:rsidRPr="00A73E36">
        <w:t xml:space="preserve"> </w:t>
      </w:r>
      <w:r w:rsidR="00A81139">
        <w:t>improvements</w:t>
      </w:r>
      <w:r w:rsidRPr="00A73E36">
        <w:t xml:space="preserve">.  </w:t>
      </w:r>
    </w:p>
    <w:p w14:paraId="4F5B464A" w14:textId="77777777" w:rsidR="00324DCB" w:rsidRDefault="00942FC9" w:rsidP="000468D7">
      <w:pPr>
        <w:pStyle w:val="Heading1"/>
      </w:pPr>
      <w:bookmarkStart w:id="3" w:name="_Toc80957404"/>
      <w:r>
        <w:t>GRANT</w:t>
      </w:r>
      <w:r w:rsidR="000468D7">
        <w:t xml:space="preserve"> DETAILS</w:t>
      </w:r>
      <w:bookmarkEnd w:id="3"/>
    </w:p>
    <w:p w14:paraId="7BA4652A" w14:textId="77777777" w:rsidR="007211A5" w:rsidRDefault="00D45E1A" w:rsidP="007211A5">
      <w:pPr>
        <w:pStyle w:val="Heading2"/>
      </w:pPr>
      <w:bookmarkStart w:id="4" w:name="_Toc80957405"/>
      <w:r>
        <w:t>PURPOSE</w:t>
      </w:r>
      <w:bookmarkEnd w:id="4"/>
    </w:p>
    <w:p w14:paraId="6CC9E5C1" w14:textId="4E5E036C" w:rsidR="007211A5" w:rsidRPr="007211A5" w:rsidRDefault="00A73E36" w:rsidP="007211A5">
      <w:r w:rsidRPr="0034169D">
        <w:t>G</w:t>
      </w:r>
      <w:r w:rsidR="00A81139">
        <w:t>overnor Mike Parson</w:t>
      </w:r>
      <w:r w:rsidRPr="0034169D">
        <w:t xml:space="preserve"> has determined that it is critical to address modernization and expansion of area career centers. Further, the Missouri legislature and Governor Parson have provided resources to meet these needs. In </w:t>
      </w:r>
      <w:r>
        <w:t>response, DESE has established</w:t>
      </w:r>
      <w:r w:rsidRPr="0034169D">
        <w:t xml:space="preserve"> the MACCO grant for Missouri’s 57 area career centers. MACCO grants will fund needed capital and infrastructure projects to increase student opportunities in </w:t>
      </w:r>
      <w:r w:rsidR="00A81139">
        <w:t>CTE</w:t>
      </w:r>
      <w:r w:rsidRPr="0034169D">
        <w:t xml:space="preserve">. </w:t>
      </w:r>
      <w:r w:rsidR="00995AAE" w:rsidRPr="00A73E36">
        <w:t>The grant’s purpose is</w:t>
      </w:r>
      <w:r w:rsidR="007211A5" w:rsidRPr="00A73E36">
        <w:t xml:space="preserve"> to enhance </w:t>
      </w:r>
      <w:r w:rsidR="00A81139">
        <w:t xml:space="preserve">CTE </w:t>
      </w:r>
      <w:r w:rsidR="007211A5" w:rsidRPr="00A73E36">
        <w:t>capacity</w:t>
      </w:r>
      <w:r w:rsidR="00B1426E" w:rsidRPr="00A73E36">
        <w:t xml:space="preserve"> by providing greater opportunities for student</w:t>
      </w:r>
      <w:r w:rsidR="00411C0E" w:rsidRPr="00A73E36">
        <w:t>s</w:t>
      </w:r>
      <w:r w:rsidR="00B1426E" w:rsidRPr="00A73E36">
        <w:t xml:space="preserve"> participatin</w:t>
      </w:r>
      <w:r w:rsidR="00411C0E" w:rsidRPr="00A73E36">
        <w:t>g</w:t>
      </w:r>
      <w:r w:rsidR="00B1426E" w:rsidRPr="00A73E36">
        <w:t xml:space="preserve"> and engag</w:t>
      </w:r>
      <w:r w:rsidR="00411C0E" w:rsidRPr="00A73E36">
        <w:t>ing in CTE</w:t>
      </w:r>
      <w:r w:rsidR="007F0575" w:rsidRPr="00A73E36">
        <w:t>,</w:t>
      </w:r>
      <w:r w:rsidR="00411C0E" w:rsidRPr="00A73E36">
        <w:t xml:space="preserve"> while also </w:t>
      </w:r>
      <w:r w:rsidR="007F0575" w:rsidRPr="00A73E36">
        <w:t>updat</w:t>
      </w:r>
      <w:r w:rsidR="00411C0E" w:rsidRPr="00A73E36">
        <w:t>ing</w:t>
      </w:r>
      <w:r w:rsidR="007F0575" w:rsidRPr="00A73E36">
        <w:t xml:space="preserve"> and moderniz</w:t>
      </w:r>
      <w:r w:rsidR="00411C0E" w:rsidRPr="00A73E36">
        <w:t xml:space="preserve">ing </w:t>
      </w:r>
      <w:r w:rsidR="007F0575" w:rsidRPr="00A73E36">
        <w:t xml:space="preserve">the </w:t>
      </w:r>
      <w:r w:rsidR="003E5452" w:rsidRPr="00A73E36">
        <w:t xml:space="preserve">facilities, </w:t>
      </w:r>
      <w:r w:rsidR="007F0575" w:rsidRPr="00A73E36">
        <w:t>infrastructure</w:t>
      </w:r>
      <w:r w:rsidR="00A81139">
        <w:t>, and</w:t>
      </w:r>
      <w:r w:rsidR="00B1426E" w:rsidRPr="00A73E36">
        <w:t xml:space="preserve"> necessary equipment of </w:t>
      </w:r>
      <w:r w:rsidR="00A81139">
        <w:t xml:space="preserve">CTE </w:t>
      </w:r>
      <w:r w:rsidR="00B1426E" w:rsidRPr="00A73E36">
        <w:t>area career centers</w:t>
      </w:r>
      <w:r w:rsidR="007211A5" w:rsidRPr="00A73E36">
        <w:t xml:space="preserve">. </w:t>
      </w:r>
      <w:r w:rsidR="00A81139">
        <w:t>LEAs</w:t>
      </w:r>
      <w:r w:rsidR="007211A5" w:rsidRPr="00A73E36">
        <w:t xml:space="preserve"> </w:t>
      </w:r>
      <w:r w:rsidR="00EA6B24" w:rsidRPr="00901642">
        <w:t>shall</w:t>
      </w:r>
      <w:r w:rsidR="007211A5" w:rsidRPr="00901642">
        <w:t xml:space="preserve"> </w:t>
      </w:r>
      <w:r w:rsidR="007211A5" w:rsidRPr="00A73E36">
        <w:t xml:space="preserve">use grant funds to </w:t>
      </w:r>
      <w:r w:rsidR="00EA6B24">
        <w:t xml:space="preserve">create new high-demand and emerging programs, </w:t>
      </w:r>
      <w:r w:rsidR="00B1426E" w:rsidRPr="00A73E36">
        <w:t xml:space="preserve">enhance current facilities by improving infrastructure, upgrade industry relevant </w:t>
      </w:r>
      <w:r w:rsidR="007211A5" w:rsidRPr="00A73E36">
        <w:t>equipment</w:t>
      </w:r>
      <w:r w:rsidR="00B1426E" w:rsidRPr="00A73E36">
        <w:t xml:space="preserve">, </w:t>
      </w:r>
      <w:r w:rsidR="007211A5" w:rsidRPr="00A73E36">
        <w:t xml:space="preserve">and to renovate </w:t>
      </w:r>
      <w:r w:rsidR="00B1426E" w:rsidRPr="00A73E36">
        <w:t xml:space="preserve">and/or construct </w:t>
      </w:r>
      <w:r w:rsidR="007211A5" w:rsidRPr="00A73E36">
        <w:t>facilities</w:t>
      </w:r>
      <w:r w:rsidR="003E5452" w:rsidRPr="00A73E36">
        <w:t>.  E</w:t>
      </w:r>
      <w:r w:rsidR="007211A5" w:rsidRPr="00A73E36">
        <w:t xml:space="preserve">xpenses </w:t>
      </w:r>
      <w:r w:rsidR="00A81139">
        <w:t xml:space="preserve">must be used to </w:t>
      </w:r>
      <w:r w:rsidR="007211A5" w:rsidRPr="00A73E36">
        <w:t xml:space="preserve">enhance </w:t>
      </w:r>
      <w:r w:rsidR="00902807" w:rsidRPr="00A73E36">
        <w:t xml:space="preserve">or extend </w:t>
      </w:r>
      <w:r w:rsidR="002B060D" w:rsidRPr="00A73E36">
        <w:t>area career centers’ capacities to</w:t>
      </w:r>
      <w:r w:rsidR="003E5452" w:rsidRPr="00A73E36">
        <w:t xml:space="preserve"> increase students’ knowledge and skills needed to gain employment in current or emerging fields, continuing their education, or retraining for new business and industry opportunities. </w:t>
      </w:r>
    </w:p>
    <w:p w14:paraId="188013BA" w14:textId="77777777" w:rsidR="008D2A7D" w:rsidRDefault="00D45E1A" w:rsidP="008D2A7D">
      <w:pPr>
        <w:pStyle w:val="Heading2"/>
      </w:pPr>
      <w:bookmarkStart w:id="5" w:name="_Toc80957406"/>
      <w:r>
        <w:lastRenderedPageBreak/>
        <w:t>ELIGIBILITY</w:t>
      </w:r>
      <w:bookmarkEnd w:id="5"/>
    </w:p>
    <w:p w14:paraId="04818EBB" w14:textId="405E7386" w:rsidR="008D2A7D" w:rsidRPr="00A73E36" w:rsidRDefault="008D2A7D" w:rsidP="008D2A7D">
      <w:r w:rsidRPr="00A73E36">
        <w:t xml:space="preserve">Missouri’s 57 </w:t>
      </w:r>
      <w:r w:rsidR="00A81139">
        <w:t xml:space="preserve">CTE </w:t>
      </w:r>
      <w:r w:rsidRPr="00A73E36">
        <w:t xml:space="preserve">area career centers are eligible to apply for these grant funds.  The maximum </w:t>
      </w:r>
      <w:r w:rsidR="00A81139">
        <w:t xml:space="preserve">state award for each </w:t>
      </w:r>
      <w:r w:rsidRPr="00A73E36">
        <w:t>grant is $</w:t>
      </w:r>
      <w:r w:rsidR="003E5452" w:rsidRPr="00A73E36">
        <w:t>400</w:t>
      </w:r>
      <w:r w:rsidRPr="00A73E36">
        <w:t>,000</w:t>
      </w:r>
      <w:r w:rsidR="00A81139">
        <w:t>, which is 75% of the total LEA expenditure.  LEAs are required to match the State’s 75%grant award with a local 25% match.  In the case of a maximum state award of $400,000, the LEA match would be approximates $</w:t>
      </w:r>
      <w:r w:rsidR="004D5C75">
        <w:t>133,333 (for a project total of approximately %533,333)</w:t>
      </w:r>
      <w:r w:rsidRPr="00A73E36">
        <w:t>.  The grant program will be based on the following criteria:</w:t>
      </w:r>
    </w:p>
    <w:p w14:paraId="794D4C56" w14:textId="64FBAEEC" w:rsidR="008D2A7D" w:rsidRPr="00A73E36" w:rsidRDefault="00781017" w:rsidP="008D2A7D">
      <w:pPr>
        <w:pStyle w:val="ListParagraph"/>
        <w:numPr>
          <w:ilvl w:val="0"/>
          <w:numId w:val="2"/>
        </w:numPr>
      </w:pPr>
      <w:r w:rsidRPr="00A73E36">
        <w:t>Creating new high-demand and emerging programs</w:t>
      </w:r>
      <w:r w:rsidR="006E230A" w:rsidRPr="00A73E36">
        <w:t>,</w:t>
      </w:r>
      <w:r w:rsidRPr="00A73E36">
        <w:t xml:space="preserve"> </w:t>
      </w:r>
      <w:r w:rsidR="004D5C75">
        <w:t xml:space="preserve">(e.g., </w:t>
      </w:r>
      <w:r w:rsidRPr="00A73E36">
        <w:t>geo-spatial, transportation and supply chain logistics, microprocessor research and development, etc.</w:t>
      </w:r>
      <w:r w:rsidR="004D5C75">
        <w:t>).</w:t>
      </w:r>
    </w:p>
    <w:p w14:paraId="3EDB3B7E" w14:textId="07223E44" w:rsidR="00BC170B" w:rsidRPr="00A73E36" w:rsidRDefault="00BC170B" w:rsidP="008D2A7D">
      <w:pPr>
        <w:pStyle w:val="ListParagraph"/>
        <w:numPr>
          <w:ilvl w:val="0"/>
          <w:numId w:val="2"/>
        </w:numPr>
      </w:pPr>
      <w:r w:rsidRPr="00A73E36">
        <w:t xml:space="preserve">New construction of area career center buildings or renovation/addition to existing </w:t>
      </w:r>
      <w:r w:rsidR="004D5C75">
        <w:t xml:space="preserve">CTE </w:t>
      </w:r>
      <w:r w:rsidRPr="00A73E36">
        <w:t>area career center</w:t>
      </w:r>
      <w:r w:rsidR="004D5C75">
        <w:t xml:space="preserve">s. </w:t>
      </w:r>
    </w:p>
    <w:p w14:paraId="6A89C43A" w14:textId="6D706BA4" w:rsidR="003E5452" w:rsidRPr="00A73E36" w:rsidRDefault="00781017" w:rsidP="008D2A7D">
      <w:pPr>
        <w:pStyle w:val="ListParagraph"/>
        <w:numPr>
          <w:ilvl w:val="0"/>
          <w:numId w:val="2"/>
        </w:numPr>
      </w:pPr>
      <w:r w:rsidRPr="00A73E36">
        <w:t xml:space="preserve">Updating and </w:t>
      </w:r>
      <w:r w:rsidR="004D5C75">
        <w:t xml:space="preserve">expanding current </w:t>
      </w:r>
      <w:r w:rsidRPr="00A73E36">
        <w:t>CTE programs</w:t>
      </w:r>
      <w:r w:rsidR="00BC170B" w:rsidRPr="00A73E36">
        <w:t>.</w:t>
      </w:r>
      <w:r w:rsidR="003E5452" w:rsidRPr="00A73E36">
        <w:t xml:space="preserve"> </w:t>
      </w:r>
    </w:p>
    <w:p w14:paraId="313695B7" w14:textId="61C11856" w:rsidR="00781017" w:rsidRPr="00A73E36" w:rsidRDefault="004D5C75" w:rsidP="008D2A7D">
      <w:pPr>
        <w:pStyle w:val="ListParagraph"/>
        <w:numPr>
          <w:ilvl w:val="0"/>
          <w:numId w:val="2"/>
        </w:numPr>
      </w:pPr>
      <w:r>
        <w:t>Improving i</w:t>
      </w:r>
      <w:r w:rsidR="00781017" w:rsidRPr="00A73E36">
        <w:t>nfrastructure</w:t>
      </w:r>
      <w:r>
        <w:t xml:space="preserve"> </w:t>
      </w:r>
      <w:r w:rsidR="00781017" w:rsidRPr="00A73E36">
        <w:t>for safety and equipment needs</w:t>
      </w:r>
    </w:p>
    <w:p w14:paraId="7C05D530" w14:textId="6E591D70" w:rsidR="00781017" w:rsidRPr="00A73E36" w:rsidRDefault="00781017" w:rsidP="008D2A7D">
      <w:pPr>
        <w:pStyle w:val="ListParagraph"/>
        <w:numPr>
          <w:ilvl w:val="0"/>
          <w:numId w:val="2"/>
        </w:numPr>
      </w:pPr>
      <w:r w:rsidRPr="00A73E36">
        <w:t xml:space="preserve">Updating equipment and instructional technology, </w:t>
      </w:r>
      <w:r w:rsidR="004D5C75">
        <w:t>(</w:t>
      </w:r>
      <w:r w:rsidRPr="00A73E36">
        <w:t>e.</w:t>
      </w:r>
      <w:r w:rsidR="004D5C75">
        <w:t xml:space="preserve">g., </w:t>
      </w:r>
      <w:r w:rsidRPr="00A73E36">
        <w:t>simulators, bandwidth, flexible instructional devices, etc.</w:t>
      </w:r>
      <w:r w:rsidR="004D5C75">
        <w:t>).</w:t>
      </w:r>
    </w:p>
    <w:p w14:paraId="71CFEF92" w14:textId="0B23250E" w:rsidR="00BC170B" w:rsidRDefault="00BC170B" w:rsidP="00BC170B">
      <w:pPr>
        <w:pStyle w:val="Heading2"/>
      </w:pPr>
      <w:r>
        <w:t>HIGH DEMAND OCCUPATIONS</w:t>
      </w:r>
    </w:p>
    <w:p w14:paraId="1B894E2F" w14:textId="2C11D279" w:rsidR="008D2A7D" w:rsidRPr="00BC170B" w:rsidRDefault="004D5C75" w:rsidP="008D2A7D">
      <w:r>
        <w:t xml:space="preserve">For the purposes of this grant </w:t>
      </w:r>
      <w:r w:rsidR="001911B8" w:rsidRPr="009260DA">
        <w:t xml:space="preserve">Appendix IV of the </w:t>
      </w:r>
      <w:hyperlink r:id="rId10" w:anchor="18" w:history="1">
        <w:r w:rsidR="003721F3" w:rsidRPr="003721F3">
          <w:rPr>
            <w:rStyle w:val="Hyperlink"/>
          </w:rPr>
          <w:t>FY23 Enhancement Grant Planning Guide</w:t>
        </w:r>
      </w:hyperlink>
      <w:r w:rsidR="003721F3">
        <w:t xml:space="preserve"> </w:t>
      </w:r>
      <w:r w:rsidR="001911B8" w:rsidRPr="009260DA">
        <w:t xml:space="preserve">defines </w:t>
      </w:r>
      <w:r w:rsidR="006E230A" w:rsidRPr="009260DA">
        <w:t>h</w:t>
      </w:r>
      <w:r w:rsidR="008D2A7D" w:rsidRPr="009260DA">
        <w:t>igh-demand occupations</w:t>
      </w:r>
      <w:r>
        <w:t xml:space="preserve">.  </w:t>
      </w:r>
      <w:r w:rsidR="008D2A7D" w:rsidRPr="009260DA">
        <w:t xml:space="preserve">Enhancements to programs outside of this definition are not eligible for </w:t>
      </w:r>
      <w:r>
        <w:t>this MACCO grant.</w:t>
      </w:r>
      <w:r w:rsidR="003721F3">
        <w:t xml:space="preserve">  </w:t>
      </w:r>
    </w:p>
    <w:p w14:paraId="7D892E52" w14:textId="77777777" w:rsidR="008D2A7D" w:rsidRDefault="00D45E1A" w:rsidP="008D2A7D">
      <w:pPr>
        <w:pStyle w:val="Heading2"/>
      </w:pPr>
      <w:bookmarkStart w:id="6" w:name="_Toc80957408"/>
      <w:r>
        <w:lastRenderedPageBreak/>
        <w:t>ALLOWABLE USES OF FUNDS</w:t>
      </w:r>
      <w:bookmarkEnd w:id="6"/>
    </w:p>
    <w:p w14:paraId="12C30A69" w14:textId="23863794" w:rsidR="008D2A7D" w:rsidRPr="00EA6B24" w:rsidRDefault="008D2A7D" w:rsidP="008D2A7D">
      <w:pPr>
        <w:spacing w:after="0"/>
      </w:pPr>
      <w:r w:rsidRPr="00EA6B24">
        <w:t xml:space="preserve">Funds awarded under this </w:t>
      </w:r>
      <w:r w:rsidR="00FD6722">
        <w:t xml:space="preserve">MACCO </w:t>
      </w:r>
      <w:r w:rsidRPr="00EA6B24">
        <w:t>grant may only support the following allowable costs associated with DESE</w:t>
      </w:r>
      <w:r w:rsidR="00FD6722">
        <w:t>-a</w:t>
      </w:r>
      <w:r w:rsidRPr="00EA6B24">
        <w:t xml:space="preserve">pproved </w:t>
      </w:r>
      <w:r w:rsidR="00FD6722">
        <w:t>CTE</w:t>
      </w:r>
      <w:r w:rsidRPr="00EA6B24">
        <w:t xml:space="preserve"> programs:</w:t>
      </w:r>
    </w:p>
    <w:p w14:paraId="5F73131E" w14:textId="250914B1" w:rsidR="008D2A7D" w:rsidRPr="00EA6B24" w:rsidRDefault="00EA6B24" w:rsidP="008D2A7D">
      <w:pPr>
        <w:pStyle w:val="ListParagraph"/>
        <w:numPr>
          <w:ilvl w:val="0"/>
          <w:numId w:val="1"/>
        </w:numPr>
      </w:pPr>
      <w:r w:rsidRPr="00EA6B24">
        <w:t>Contracted s</w:t>
      </w:r>
      <w:r w:rsidR="008D2A7D" w:rsidRPr="00EA6B24">
        <w:t>ervices</w:t>
      </w:r>
    </w:p>
    <w:p w14:paraId="5CB14FD8" w14:textId="419EAB00" w:rsidR="008D2A7D" w:rsidRPr="00EA6B24" w:rsidRDefault="00FD6722" w:rsidP="008D2A7D">
      <w:pPr>
        <w:pStyle w:val="ListParagraph"/>
        <w:numPr>
          <w:ilvl w:val="0"/>
          <w:numId w:val="1"/>
        </w:numPr>
      </w:pPr>
      <w:r>
        <w:t>Modernizing CTE facilities</w:t>
      </w:r>
    </w:p>
    <w:p w14:paraId="567EAD62" w14:textId="1ADD87ED" w:rsidR="00546233" w:rsidRPr="00EA6B24" w:rsidRDefault="00546233" w:rsidP="008D2A7D">
      <w:pPr>
        <w:pStyle w:val="ListParagraph"/>
        <w:numPr>
          <w:ilvl w:val="0"/>
          <w:numId w:val="1"/>
        </w:numPr>
      </w:pPr>
      <w:r w:rsidRPr="00EA6B24">
        <w:t>Facility infrastructure improvements</w:t>
      </w:r>
    </w:p>
    <w:p w14:paraId="19510B88" w14:textId="498F25E3" w:rsidR="008D2A7D" w:rsidRPr="00EA6B24" w:rsidRDefault="00EA6B24" w:rsidP="008D2A7D">
      <w:pPr>
        <w:pStyle w:val="ListParagraph"/>
        <w:numPr>
          <w:ilvl w:val="0"/>
          <w:numId w:val="1"/>
        </w:numPr>
      </w:pPr>
      <w:r w:rsidRPr="00EA6B24">
        <w:t>Instructional e</w:t>
      </w:r>
      <w:r w:rsidR="008D2A7D" w:rsidRPr="00EA6B24">
        <w:t>quipment</w:t>
      </w:r>
    </w:p>
    <w:p w14:paraId="3CE34355" w14:textId="3408059D" w:rsidR="008D2A7D" w:rsidRPr="00EA6B24" w:rsidRDefault="00EA6B24" w:rsidP="008D2A7D">
      <w:pPr>
        <w:pStyle w:val="ListParagraph"/>
        <w:numPr>
          <w:ilvl w:val="0"/>
          <w:numId w:val="1"/>
        </w:numPr>
      </w:pPr>
      <w:r w:rsidRPr="00EA6B24">
        <w:t>Professional s</w:t>
      </w:r>
      <w:r w:rsidR="008D2A7D" w:rsidRPr="00EA6B24">
        <w:t>ervices</w:t>
      </w:r>
      <w:r w:rsidR="00546233" w:rsidRPr="00EA6B24">
        <w:t xml:space="preserve">, </w:t>
      </w:r>
      <w:r w:rsidR="00FD6722">
        <w:t>(e.g.,</w:t>
      </w:r>
      <w:r w:rsidRPr="00EA6B24">
        <w:t xml:space="preserve"> engineering &amp; design fees, architect fees, environmental s</w:t>
      </w:r>
      <w:r w:rsidR="00546233" w:rsidRPr="00EA6B24">
        <w:t>urvey, etc.</w:t>
      </w:r>
      <w:r w:rsidR="00FD6722">
        <w:t>).</w:t>
      </w:r>
    </w:p>
    <w:p w14:paraId="759AF3DC" w14:textId="640C4539" w:rsidR="008D2A7D" w:rsidRPr="00EA6B24" w:rsidRDefault="00FD6722" w:rsidP="008D2A7D">
      <w:pPr>
        <w:pStyle w:val="ListParagraph"/>
        <w:numPr>
          <w:ilvl w:val="0"/>
          <w:numId w:val="1"/>
        </w:numPr>
      </w:pPr>
      <w:r>
        <w:t>Facility renovation and remodeling</w:t>
      </w:r>
    </w:p>
    <w:p w14:paraId="2C5233AA" w14:textId="367D38FA" w:rsidR="00064B75" w:rsidRDefault="00064B75" w:rsidP="00064B75">
      <w:pPr>
        <w:pStyle w:val="Heading2"/>
      </w:pPr>
      <w:r>
        <w:t>UNALLOWABLE USES OF FUNDS</w:t>
      </w:r>
    </w:p>
    <w:p w14:paraId="4D4E7C30" w14:textId="7B020C0E" w:rsidR="00064B75" w:rsidRPr="00EA6B24" w:rsidRDefault="00064B75" w:rsidP="00064B75">
      <w:pPr>
        <w:pStyle w:val="ListParagraph"/>
        <w:numPr>
          <w:ilvl w:val="0"/>
          <w:numId w:val="3"/>
        </w:numPr>
      </w:pPr>
      <w:r w:rsidRPr="00EA6B24">
        <w:t>Materials and supplies</w:t>
      </w:r>
    </w:p>
    <w:p w14:paraId="189578D0" w14:textId="7981A537" w:rsidR="00064B75" w:rsidRPr="00EA6B24" w:rsidRDefault="00064B75" w:rsidP="00064B75">
      <w:pPr>
        <w:pStyle w:val="ListParagraph"/>
        <w:numPr>
          <w:ilvl w:val="0"/>
          <w:numId w:val="3"/>
        </w:numPr>
      </w:pPr>
      <w:r w:rsidRPr="00EA6B24">
        <w:t>Salaries</w:t>
      </w:r>
    </w:p>
    <w:p w14:paraId="7DAC2284" w14:textId="6BEE5B44" w:rsidR="00064B75" w:rsidRPr="00EA6B24" w:rsidRDefault="00064B75" w:rsidP="00064B75">
      <w:pPr>
        <w:pStyle w:val="ListParagraph"/>
        <w:numPr>
          <w:ilvl w:val="0"/>
          <w:numId w:val="3"/>
        </w:numPr>
      </w:pPr>
      <w:r w:rsidRPr="00EA6B24">
        <w:t>Curriculum</w:t>
      </w:r>
    </w:p>
    <w:p w14:paraId="323036D7" w14:textId="34D92764" w:rsidR="00064B75" w:rsidRPr="00EA6B24" w:rsidRDefault="00064B75" w:rsidP="00064B75">
      <w:pPr>
        <w:pStyle w:val="ListParagraph"/>
        <w:numPr>
          <w:ilvl w:val="0"/>
          <w:numId w:val="3"/>
        </w:numPr>
      </w:pPr>
      <w:r w:rsidRPr="00EA6B24">
        <w:t>Software</w:t>
      </w:r>
    </w:p>
    <w:p w14:paraId="09C8F123" w14:textId="6C5277BF" w:rsidR="00064B75" w:rsidRPr="00EA6B24" w:rsidRDefault="00064B75" w:rsidP="00064B75">
      <w:pPr>
        <w:ind w:left="360"/>
      </w:pPr>
      <w:r w:rsidRPr="00EA6B24">
        <w:t xml:space="preserve">LEAs are encouraged to use other sources, </w:t>
      </w:r>
      <w:r w:rsidR="00FD6722">
        <w:t>(e.g.,</w:t>
      </w:r>
      <w:r w:rsidRPr="00EA6B24">
        <w:t xml:space="preserve"> Perkins V</w:t>
      </w:r>
      <w:r w:rsidR="00FD6722">
        <w:t>,</w:t>
      </w:r>
      <w:r w:rsidRPr="00EA6B24">
        <w:t xml:space="preserve"> or State CTE Base and Performance funds,</w:t>
      </w:r>
      <w:r w:rsidR="00FD6722">
        <w:t xml:space="preserve"> or other DESE matching funds),</w:t>
      </w:r>
      <w:r w:rsidRPr="00EA6B24">
        <w:t xml:space="preserve"> for unallowable </w:t>
      </w:r>
      <w:r w:rsidR="00FD6722">
        <w:t xml:space="preserve">MACCO </w:t>
      </w:r>
      <w:r w:rsidRPr="00EA6B24">
        <w:t xml:space="preserve">grant </w:t>
      </w:r>
      <w:r w:rsidR="00FD6722">
        <w:t xml:space="preserve">requests.  </w:t>
      </w:r>
    </w:p>
    <w:p w14:paraId="54CFF560" w14:textId="77777777" w:rsidR="008D2A7D" w:rsidRPr="008D2A7D" w:rsidRDefault="00D45E1A" w:rsidP="008D2A7D">
      <w:pPr>
        <w:pStyle w:val="Heading2"/>
      </w:pPr>
      <w:bookmarkStart w:id="7" w:name="_Toc80957409"/>
      <w:r>
        <w:lastRenderedPageBreak/>
        <w:t>GRANT APPLICATION</w:t>
      </w:r>
      <w:bookmarkEnd w:id="7"/>
    </w:p>
    <w:p w14:paraId="47502087" w14:textId="77777777" w:rsidR="00FD6722" w:rsidRDefault="008D2A7D" w:rsidP="00FD6722">
      <w:pPr>
        <w:pStyle w:val="NoSpacing"/>
      </w:pPr>
      <w:r w:rsidRPr="00CE0747">
        <w:t xml:space="preserve">To be eligible </w:t>
      </w:r>
      <w:r w:rsidRPr="006D19E6">
        <w:t>for</w:t>
      </w:r>
      <w:r w:rsidR="001911B8" w:rsidRPr="006D19E6">
        <w:t xml:space="preserve"> funding, LEAs must </w:t>
      </w:r>
      <w:r w:rsidR="00222EA2" w:rsidRPr="006D19E6">
        <w:t xml:space="preserve">submit </w:t>
      </w:r>
      <w:r w:rsidR="001911B8" w:rsidRPr="006D19E6">
        <w:rPr>
          <w:rFonts w:cstheme="minorHAnsi"/>
        </w:rPr>
        <w:t>a</w:t>
      </w:r>
      <w:r w:rsidR="00FD6722">
        <w:rPr>
          <w:rFonts w:cstheme="minorHAnsi"/>
        </w:rPr>
        <w:t xml:space="preserve"> grant a</w:t>
      </w:r>
      <w:r w:rsidR="0084648E" w:rsidRPr="006D19E6">
        <w:rPr>
          <w:rFonts w:cstheme="minorHAnsi"/>
          <w:shd w:val="clear" w:color="auto" w:fill="FFFFFF"/>
        </w:rPr>
        <w:t>pplication</w:t>
      </w:r>
      <w:r w:rsidR="00222EA2" w:rsidRPr="006D19E6">
        <w:rPr>
          <w:rFonts w:cstheme="minorHAnsi"/>
          <w:shd w:val="clear" w:color="auto" w:fill="FFFFFF"/>
        </w:rPr>
        <w:t xml:space="preserve"> through the Office of Administration</w:t>
      </w:r>
      <w:r w:rsidR="003B7D00" w:rsidRPr="006D19E6">
        <w:rPr>
          <w:rFonts w:cstheme="minorHAnsi"/>
          <w:shd w:val="clear" w:color="auto" w:fill="FFFFFF"/>
        </w:rPr>
        <w:t xml:space="preserve"> (OA)</w:t>
      </w:r>
      <w:r w:rsidR="00222EA2" w:rsidRPr="006D19E6">
        <w:rPr>
          <w:rFonts w:cstheme="minorHAnsi"/>
          <w:shd w:val="clear" w:color="auto" w:fill="FFFFFF"/>
        </w:rPr>
        <w:t xml:space="preserve"> portal found </w:t>
      </w:r>
      <w:r w:rsidR="006D19E6">
        <w:rPr>
          <w:rFonts w:cstheme="minorHAnsi"/>
          <w:shd w:val="clear" w:color="auto" w:fill="FFFFFF"/>
        </w:rPr>
        <w:t xml:space="preserve">at </w:t>
      </w:r>
      <w:r w:rsidR="006D19E6" w:rsidRPr="00904CFE">
        <w:rPr>
          <w:rFonts w:cstheme="minorHAnsi"/>
          <w:b/>
          <w:i/>
          <w:shd w:val="clear" w:color="auto" w:fill="FFFFFF"/>
        </w:rPr>
        <w:t>moarpa.mo.gov</w:t>
      </w:r>
      <w:r w:rsidR="006D19E6">
        <w:rPr>
          <w:rFonts w:cstheme="minorHAnsi"/>
          <w:shd w:val="clear" w:color="auto" w:fill="FFFFFF"/>
        </w:rPr>
        <w:t xml:space="preserve">. </w:t>
      </w:r>
      <w:r w:rsidRPr="00CE0747">
        <w:t xml:space="preserve">The LEA must </w:t>
      </w:r>
      <w:r w:rsidR="00FD6722">
        <w:t>document</w:t>
      </w:r>
      <w:r w:rsidRPr="00CE0747">
        <w:t xml:space="preserve"> </w:t>
      </w:r>
      <w:r w:rsidR="006075D7" w:rsidRPr="00CE0747">
        <w:t xml:space="preserve">the </w:t>
      </w:r>
      <w:r w:rsidR="00546233" w:rsidRPr="00CE0747">
        <w:t>need for</w:t>
      </w:r>
      <w:r w:rsidR="00FD6722">
        <w:t>:</w:t>
      </w:r>
    </w:p>
    <w:p w14:paraId="1F9C138F" w14:textId="77777777" w:rsidR="00FD6722" w:rsidRDefault="00FD6722" w:rsidP="00FD6722">
      <w:pPr>
        <w:pStyle w:val="NoSpacing"/>
        <w:numPr>
          <w:ilvl w:val="0"/>
          <w:numId w:val="4"/>
        </w:numPr>
      </w:pPr>
      <w:r>
        <w:t>F</w:t>
      </w:r>
      <w:r w:rsidR="00546233" w:rsidRPr="00CE0747">
        <w:t>acility improvements</w:t>
      </w:r>
      <w:r>
        <w:t xml:space="preserve">, </w:t>
      </w:r>
      <w:r w:rsidR="00546233" w:rsidRPr="00CE0747">
        <w:t xml:space="preserve">and/or </w:t>
      </w:r>
    </w:p>
    <w:p w14:paraId="5FF49240" w14:textId="435865C0" w:rsidR="00FD6722" w:rsidRDefault="00FD6722" w:rsidP="00FD6722">
      <w:pPr>
        <w:pStyle w:val="NoSpacing"/>
        <w:numPr>
          <w:ilvl w:val="0"/>
          <w:numId w:val="4"/>
        </w:numPr>
      </w:pPr>
      <w:r>
        <w:t>E</w:t>
      </w:r>
      <w:r w:rsidR="00546233" w:rsidRPr="00CE0747">
        <w:t xml:space="preserve">quipment, and/or </w:t>
      </w:r>
    </w:p>
    <w:p w14:paraId="613A06C6" w14:textId="77777777" w:rsidR="00FD6722" w:rsidRDefault="00FD6722" w:rsidP="00FD6722">
      <w:pPr>
        <w:pStyle w:val="NoSpacing"/>
        <w:numPr>
          <w:ilvl w:val="0"/>
          <w:numId w:val="4"/>
        </w:numPr>
      </w:pPr>
      <w:r>
        <w:t>E</w:t>
      </w:r>
      <w:r w:rsidR="00546233" w:rsidRPr="00CE0747">
        <w:t>xpansion of</w:t>
      </w:r>
      <w:r w:rsidR="00EF5C58" w:rsidRPr="00CE0747">
        <w:t xml:space="preserve"> current </w:t>
      </w:r>
      <w:r>
        <w:t xml:space="preserve">CTE Programs. </w:t>
      </w:r>
      <w:r w:rsidR="00EF5C58" w:rsidRPr="00CE0747">
        <w:t xml:space="preserve">and/or </w:t>
      </w:r>
    </w:p>
    <w:p w14:paraId="203C7EA9" w14:textId="77777777" w:rsidR="00FD6722" w:rsidRDefault="00FD6722" w:rsidP="00FD6722">
      <w:pPr>
        <w:pStyle w:val="NoSpacing"/>
        <w:numPr>
          <w:ilvl w:val="0"/>
          <w:numId w:val="4"/>
        </w:numPr>
      </w:pPr>
      <w:r>
        <w:t>Creation of n</w:t>
      </w:r>
      <w:r w:rsidR="00EF5C58" w:rsidRPr="00CE0747">
        <w:t>ew</w:t>
      </w:r>
      <w:r w:rsidR="00546233" w:rsidRPr="00CE0747">
        <w:t xml:space="preserve"> </w:t>
      </w:r>
      <w:r>
        <w:t xml:space="preserve">CTE </w:t>
      </w:r>
      <w:r w:rsidR="00546233" w:rsidRPr="00CE0747">
        <w:t>program area</w:t>
      </w:r>
      <w:r>
        <w:t>s</w:t>
      </w:r>
      <w:r w:rsidR="00EF5C58" w:rsidRPr="00CE0747">
        <w:t xml:space="preserve"> or programs.  </w:t>
      </w:r>
    </w:p>
    <w:p w14:paraId="0600F2BE" w14:textId="77777777" w:rsidR="00FD6722" w:rsidRDefault="00FD6722" w:rsidP="00FD6722">
      <w:pPr>
        <w:pStyle w:val="NoSpacing"/>
      </w:pPr>
    </w:p>
    <w:p w14:paraId="490550D2" w14:textId="75A51859" w:rsidR="008D2A7D" w:rsidRPr="00FD6722" w:rsidRDefault="00EF5C58" w:rsidP="00FD6722">
      <w:pPr>
        <w:pStyle w:val="NoSpacing"/>
      </w:pPr>
      <w:r w:rsidRPr="00CE0747">
        <w:t xml:space="preserve">LEAs must provide </w:t>
      </w:r>
      <w:r w:rsidR="008D2A7D" w:rsidRPr="00CE0747">
        <w:t xml:space="preserve">a </w:t>
      </w:r>
      <w:r w:rsidR="00FD6722">
        <w:t xml:space="preserve">complete </w:t>
      </w:r>
      <w:r w:rsidR="008D2A7D" w:rsidRPr="00CE0747">
        <w:t>description of the items</w:t>
      </w:r>
      <w:r w:rsidR="00FD6722">
        <w:t xml:space="preserve"> and improvements</w:t>
      </w:r>
      <w:r w:rsidR="008D2A7D" w:rsidRPr="00CE0747">
        <w:t xml:space="preserve"> requested from the grant funds on the</w:t>
      </w:r>
      <w:r w:rsidR="003B7D00" w:rsidRPr="00CE0747">
        <w:t xml:space="preserve"> application in the OA portal.  </w:t>
      </w:r>
      <w:r w:rsidR="00DF6632" w:rsidRPr="00DF6632">
        <w:t xml:space="preserve">The </w:t>
      </w:r>
      <w:r w:rsidR="00DF6632" w:rsidRPr="00DF6632">
        <w:rPr>
          <w:i/>
        </w:rPr>
        <w:t xml:space="preserve">How </w:t>
      </w:r>
      <w:r w:rsidR="00DF6632">
        <w:rPr>
          <w:i/>
        </w:rPr>
        <w:t>t</w:t>
      </w:r>
      <w:r w:rsidR="00DF6632" w:rsidRPr="00DF6632">
        <w:rPr>
          <w:i/>
        </w:rPr>
        <w:t>o Apply</w:t>
      </w:r>
      <w:r w:rsidR="00DF6632" w:rsidRPr="00DF6632">
        <w:t xml:space="preserve"> </w:t>
      </w:r>
      <w:r w:rsidR="00FD6722">
        <w:t xml:space="preserve">information </w:t>
      </w:r>
      <w:r w:rsidR="00DF6632" w:rsidRPr="00DF6632">
        <w:t xml:space="preserve">can be found at </w:t>
      </w:r>
      <w:hyperlink r:id="rId11" w:history="1">
        <w:r w:rsidR="00DF6632" w:rsidRPr="004D4E43">
          <w:rPr>
            <w:rStyle w:val="Hyperlink"/>
          </w:rPr>
          <w:t>https://moarpa.mo.gov/apply-for-funding/</w:t>
        </w:r>
      </w:hyperlink>
      <w:r w:rsidR="00DF6632" w:rsidRPr="00DF6632">
        <w:t>.</w:t>
      </w:r>
      <w:r w:rsidR="00DF6632" w:rsidRPr="00DF6632">
        <w:rPr>
          <w:highlight w:val="yellow"/>
        </w:rPr>
        <w:t xml:space="preserve"> </w:t>
      </w:r>
    </w:p>
    <w:p w14:paraId="6BFA662C" w14:textId="455E1C78" w:rsidR="008D2A7D" w:rsidRPr="008D2A7D" w:rsidRDefault="008D2A7D" w:rsidP="008D2A7D">
      <w:r w:rsidRPr="00CE0747">
        <w:rPr>
          <w:rFonts w:ascii="Calibri" w:hAnsi="Calibri" w:cs="Calibri"/>
        </w:rPr>
        <w:t>To receive re</w:t>
      </w:r>
      <w:r w:rsidR="00987B09" w:rsidRPr="00CE0747">
        <w:rPr>
          <w:rFonts w:ascii="Calibri" w:hAnsi="Calibri" w:cs="Calibri"/>
        </w:rPr>
        <w:t>imbursement, LEAs must follow procedures established by the OA.  Reimbursement guidelines will follow.</w:t>
      </w:r>
      <w:r w:rsidR="0084648E" w:rsidRPr="00F96B2A">
        <w:rPr>
          <w:rFonts w:ascii="Calibri" w:hAnsi="Calibri" w:cs="Calibri"/>
        </w:rPr>
        <w:t xml:space="preserve"> </w:t>
      </w:r>
      <w:r w:rsidR="00FD6722">
        <w:rPr>
          <w:rFonts w:ascii="Calibri" w:hAnsi="Calibri" w:cs="Calibri"/>
        </w:rPr>
        <w:t xml:space="preserve"> See Appendix B for more information regarding reimbursement of funds.</w:t>
      </w:r>
    </w:p>
    <w:p w14:paraId="002E96AE" w14:textId="28A033D8" w:rsidR="008D2A7D" w:rsidRPr="008D2A7D" w:rsidRDefault="00FD6722" w:rsidP="008D2A7D">
      <w:pPr>
        <w:pStyle w:val="Heading2"/>
      </w:pPr>
      <w:bookmarkStart w:id="8" w:name="_Toc80957410"/>
      <w:r>
        <w:t xml:space="preserve">GRANT </w:t>
      </w:r>
      <w:r w:rsidR="00D45E1A">
        <w:t>TIMELINE</w:t>
      </w:r>
      <w:bookmarkEnd w:id="8"/>
    </w:p>
    <w:p w14:paraId="72423C05" w14:textId="2DCC9BC3" w:rsidR="00FD6722" w:rsidRDefault="00FD6722" w:rsidP="008D2A7D">
      <w:r>
        <w:t>The following Grant Timeline may encompass multiple fiscal years and should be carefully noted and follo</w:t>
      </w:r>
      <w:r w:rsidR="003324DB">
        <w:t>wed:</w:t>
      </w:r>
    </w:p>
    <w:p w14:paraId="16574BE2" w14:textId="4698E2D1" w:rsidR="008D2A7D" w:rsidRPr="00311603" w:rsidRDefault="00EF5C58" w:rsidP="008D2A7D">
      <w:r w:rsidRPr="00311603">
        <w:t xml:space="preserve">July </w:t>
      </w:r>
      <w:r w:rsidR="002423D2">
        <w:t>25</w:t>
      </w:r>
      <w:r w:rsidRPr="00311603">
        <w:t>, 2022</w:t>
      </w:r>
      <w:r w:rsidR="008D2A7D" w:rsidRPr="00311603">
        <w:t xml:space="preserve">:  </w:t>
      </w:r>
      <w:r w:rsidR="00CE0747" w:rsidRPr="00311603">
        <w:t>A</w:t>
      </w:r>
      <w:r w:rsidR="008D2A7D" w:rsidRPr="00311603">
        <w:t xml:space="preserve">pplication form </w:t>
      </w:r>
      <w:r w:rsidR="006B2200" w:rsidRPr="00311603">
        <w:t xml:space="preserve">located on OA portal </w:t>
      </w:r>
      <w:r w:rsidRPr="00311603">
        <w:t>open for submission</w:t>
      </w:r>
      <w:r w:rsidR="008D2A7D" w:rsidRPr="00311603">
        <w:t xml:space="preserve"> </w:t>
      </w:r>
    </w:p>
    <w:p w14:paraId="6C46F881" w14:textId="1954758C" w:rsidR="00EF5C58" w:rsidRPr="00311603" w:rsidRDefault="00311603" w:rsidP="008D2A7D">
      <w:r w:rsidRPr="00311603">
        <w:t>October</w:t>
      </w:r>
      <w:r w:rsidR="00EF5C58" w:rsidRPr="00311603">
        <w:t xml:space="preserve"> </w:t>
      </w:r>
      <w:r w:rsidR="002423D2">
        <w:t>28</w:t>
      </w:r>
      <w:r w:rsidR="00EF5C58" w:rsidRPr="00311603">
        <w:t>, 2022: Application</w:t>
      </w:r>
      <w:r w:rsidR="003324DB">
        <w:t xml:space="preserve"> Due Date (application</w:t>
      </w:r>
      <w:r w:rsidR="00EF5C58" w:rsidRPr="00311603">
        <w:t xml:space="preserve"> process closes</w:t>
      </w:r>
      <w:r w:rsidR="003324DB">
        <w:t>)</w:t>
      </w:r>
      <w:r w:rsidR="008D2A7D" w:rsidRPr="00311603">
        <w:t xml:space="preserve">  </w:t>
      </w:r>
    </w:p>
    <w:p w14:paraId="2E06D932" w14:textId="2929266E" w:rsidR="008D2A7D" w:rsidRPr="00311603" w:rsidRDefault="00311603" w:rsidP="008D2A7D">
      <w:r w:rsidRPr="00311603">
        <w:lastRenderedPageBreak/>
        <w:t>November 14</w:t>
      </w:r>
      <w:r w:rsidR="00B92F64" w:rsidRPr="00311603">
        <w:t>, 202</w:t>
      </w:r>
      <w:r w:rsidRPr="00311603">
        <w:t>2</w:t>
      </w:r>
      <w:r w:rsidR="00B92F64" w:rsidRPr="00311603">
        <w:t xml:space="preserve">: </w:t>
      </w:r>
      <w:r w:rsidR="008D2A7D" w:rsidRPr="00311603">
        <w:t>Grant awards announced (LEAs may begin to obligate and expend funds</w:t>
      </w:r>
      <w:r w:rsidR="003324DB">
        <w:t xml:space="preserve"> upon notification</w:t>
      </w:r>
      <w:r w:rsidR="008D2A7D" w:rsidRPr="00311603">
        <w:t>)</w:t>
      </w:r>
    </w:p>
    <w:p w14:paraId="57C72EEE" w14:textId="57561700" w:rsidR="008D2A7D" w:rsidRPr="00DC4559" w:rsidRDefault="00901642" w:rsidP="008D2A7D">
      <w:r>
        <w:t>November 14, 2022</w:t>
      </w:r>
      <w:r w:rsidR="008D2A7D" w:rsidRPr="006B2200">
        <w:t xml:space="preserve"> – </w:t>
      </w:r>
      <w:r w:rsidR="00B92F64" w:rsidRPr="006B2200">
        <w:t xml:space="preserve">December </w:t>
      </w:r>
      <w:r w:rsidR="008D2A7D" w:rsidRPr="006B2200">
        <w:t>30, 202</w:t>
      </w:r>
      <w:r w:rsidR="00B92F64" w:rsidRPr="006B2200">
        <w:t>4</w:t>
      </w:r>
      <w:r w:rsidR="008D2A7D" w:rsidRPr="006B2200">
        <w:t xml:space="preserve">:  LEAs </w:t>
      </w:r>
      <w:r w:rsidR="003324DB">
        <w:t xml:space="preserve">may obligate approved </w:t>
      </w:r>
      <w:r w:rsidR="006B2200" w:rsidRPr="006B2200">
        <w:t>funds</w:t>
      </w:r>
      <w:r w:rsidR="006B2200" w:rsidRPr="00DC4559">
        <w:t xml:space="preserve">.  </w:t>
      </w:r>
      <w:r w:rsidR="003324DB">
        <w:t xml:space="preserve">LEAs my also expend approved funds, and requests reimbursement of actual expenditures of approved.  </w:t>
      </w:r>
    </w:p>
    <w:p w14:paraId="0F6055BA" w14:textId="080C5054" w:rsidR="008D2A7D" w:rsidRPr="006B2200" w:rsidRDefault="00B92F64" w:rsidP="008D2A7D">
      <w:r w:rsidRPr="006B2200">
        <w:t>December</w:t>
      </w:r>
      <w:r w:rsidR="008D2A7D" w:rsidRPr="006B2200">
        <w:t xml:space="preserve"> 30, 202</w:t>
      </w:r>
      <w:r w:rsidRPr="006B2200">
        <w:t>6</w:t>
      </w:r>
      <w:r w:rsidR="008D2A7D" w:rsidRPr="006B2200">
        <w:t xml:space="preserve">:  Final </w:t>
      </w:r>
      <w:r w:rsidR="00987B09" w:rsidRPr="006B2200">
        <w:t>expenditures and reimbursement request due</w:t>
      </w:r>
    </w:p>
    <w:p w14:paraId="7DC57E4F" w14:textId="483CCED3" w:rsidR="008D2A7D" w:rsidRPr="008D2A7D" w:rsidRDefault="00B92F64" w:rsidP="008D2A7D">
      <w:r w:rsidRPr="006B2200">
        <w:t xml:space="preserve">December </w:t>
      </w:r>
      <w:r w:rsidR="008D2A7D" w:rsidRPr="006B2200">
        <w:t>30, 202</w:t>
      </w:r>
      <w:r w:rsidRPr="006B2200">
        <w:t>6</w:t>
      </w:r>
      <w:r w:rsidR="008D2A7D" w:rsidRPr="006B2200">
        <w:t xml:space="preserve">:  </w:t>
      </w:r>
      <w:r w:rsidR="003324DB">
        <w:t>LEA MACCO Program S</w:t>
      </w:r>
      <w:r w:rsidR="008D2A7D" w:rsidRPr="006B2200">
        <w:t>ummary is due</w:t>
      </w:r>
    </w:p>
    <w:p w14:paraId="1C8B9051" w14:textId="77777777" w:rsidR="008D2A7D" w:rsidRPr="008D2A7D" w:rsidRDefault="00D45E1A" w:rsidP="008D2A7D">
      <w:pPr>
        <w:pStyle w:val="Heading2"/>
      </w:pPr>
      <w:bookmarkStart w:id="9" w:name="_Toc80957411"/>
      <w:r>
        <w:t>PROGRAM SUMMARY</w:t>
      </w:r>
      <w:bookmarkEnd w:id="9"/>
    </w:p>
    <w:p w14:paraId="312C3165" w14:textId="6E2EFDC4" w:rsidR="008D2A7D" w:rsidRPr="006B2200" w:rsidRDefault="008D2A7D" w:rsidP="008D2A7D">
      <w:pPr>
        <w:spacing w:after="0" w:line="240" w:lineRule="auto"/>
      </w:pPr>
      <w:r w:rsidRPr="006B2200">
        <w:t xml:space="preserve">All grant recipients must submit a </w:t>
      </w:r>
      <w:r w:rsidR="003324DB">
        <w:t>MACCO Program S</w:t>
      </w:r>
      <w:r w:rsidRPr="006B2200">
        <w:t xml:space="preserve">ummary of their project and its impact on their career center, program(s), industry partners, </w:t>
      </w:r>
      <w:r w:rsidR="003324DB">
        <w:t xml:space="preserve">community, </w:t>
      </w:r>
      <w:r w:rsidRPr="006B2200">
        <w:t>students</w:t>
      </w:r>
      <w:r w:rsidR="003324DB">
        <w:t>,</w:t>
      </w:r>
      <w:r w:rsidRPr="006B2200">
        <w:t xml:space="preserve"> and staff.  </w:t>
      </w:r>
      <w:r w:rsidR="003324DB">
        <w:t>LEA</w:t>
      </w:r>
      <w:r w:rsidRPr="006B2200">
        <w:t xml:space="preserve">s should address the following when writing their </w:t>
      </w:r>
      <w:r w:rsidR="003324DB">
        <w:t>Program Summary</w:t>
      </w:r>
      <w:r w:rsidRPr="006B2200">
        <w:t>:</w:t>
      </w:r>
    </w:p>
    <w:p w14:paraId="076FAB7D" w14:textId="20C5BD3A" w:rsidR="008D2A7D" w:rsidRPr="006B2200" w:rsidRDefault="008D2A7D" w:rsidP="008D2A7D">
      <w:pPr>
        <w:spacing w:after="0" w:line="240" w:lineRule="auto"/>
        <w:ind w:left="1080" w:hanging="360"/>
      </w:pPr>
      <w:r w:rsidRPr="006B2200">
        <w:t>A.</w:t>
      </w:r>
      <w:r w:rsidRPr="006B2200">
        <w:tab/>
        <w:t xml:space="preserve">Name and contact information of </w:t>
      </w:r>
      <w:r w:rsidR="003324DB">
        <w:t xml:space="preserve">CTE area </w:t>
      </w:r>
      <w:r w:rsidRPr="006B2200">
        <w:t xml:space="preserve">career center director and the </w:t>
      </w:r>
      <w:r w:rsidR="00B92F64" w:rsidRPr="006B2200">
        <w:t>ARPA</w:t>
      </w:r>
      <w:r w:rsidRPr="006B2200">
        <w:t xml:space="preserve"> grant lead</w:t>
      </w:r>
    </w:p>
    <w:p w14:paraId="62128BF0" w14:textId="2ECF4FD0" w:rsidR="008D2A7D" w:rsidRPr="006B2200" w:rsidRDefault="008D2A7D" w:rsidP="008D2A7D">
      <w:pPr>
        <w:spacing w:after="0" w:line="240" w:lineRule="auto"/>
        <w:ind w:left="1080" w:hanging="360"/>
      </w:pPr>
      <w:r w:rsidRPr="006B2200">
        <w:t>B.</w:t>
      </w:r>
      <w:r w:rsidRPr="006B2200">
        <w:tab/>
        <w:t xml:space="preserve">Overview of how </w:t>
      </w:r>
      <w:r w:rsidR="0084648E" w:rsidRPr="006B2200">
        <w:t xml:space="preserve">recipients used the </w:t>
      </w:r>
      <w:r w:rsidR="006B2200" w:rsidRPr="006B2200">
        <w:t>MACCO</w:t>
      </w:r>
      <w:r w:rsidRPr="006B2200">
        <w:t xml:space="preserve"> Grant Funds </w:t>
      </w:r>
    </w:p>
    <w:p w14:paraId="7C8F527F" w14:textId="77777777" w:rsidR="008D2A7D" w:rsidRPr="006B2200" w:rsidRDefault="008D2A7D" w:rsidP="008D2A7D">
      <w:pPr>
        <w:spacing w:after="0" w:line="240" w:lineRule="auto"/>
        <w:ind w:left="1080" w:hanging="360"/>
      </w:pPr>
      <w:r w:rsidRPr="006B2200">
        <w:t>C.</w:t>
      </w:r>
      <w:r w:rsidRPr="006B2200">
        <w:tab/>
      </w:r>
      <w:r w:rsidR="00C75B37" w:rsidRPr="006B2200">
        <w:t>Number of</w:t>
      </w:r>
      <w:r w:rsidRPr="006B2200">
        <w:t xml:space="preserve"> students impacted by the grant funds for each program </w:t>
      </w:r>
      <w:r w:rsidR="000365FD" w:rsidRPr="006B2200">
        <w:t>fu</w:t>
      </w:r>
      <w:r w:rsidR="00C75B37" w:rsidRPr="006B2200">
        <w:t>nded</w:t>
      </w:r>
    </w:p>
    <w:p w14:paraId="215CC9F3" w14:textId="25B40CF3" w:rsidR="008D2A7D" w:rsidRPr="006B2200" w:rsidRDefault="003324DB" w:rsidP="008D2A7D">
      <w:pPr>
        <w:spacing w:after="0" w:line="240" w:lineRule="auto"/>
        <w:ind w:left="1080" w:hanging="360"/>
      </w:pPr>
      <w:r>
        <w:t>D.</w:t>
      </w:r>
      <w:r>
        <w:tab/>
        <w:t>Program</w:t>
      </w:r>
      <w:r w:rsidR="008D2A7D" w:rsidRPr="006B2200">
        <w:t xml:space="preserve"> major accomplishments</w:t>
      </w:r>
      <w:r w:rsidR="005802F6">
        <w:t xml:space="preserve"> and its impact to industry partners, community, and staff</w:t>
      </w:r>
      <w:r w:rsidR="008D2A7D" w:rsidRPr="006B2200">
        <w:t xml:space="preserve"> </w:t>
      </w:r>
    </w:p>
    <w:p w14:paraId="7FBC33D5" w14:textId="41F46224" w:rsidR="008D2A7D" w:rsidRPr="006B2200" w:rsidRDefault="008D2A7D" w:rsidP="008D2A7D">
      <w:pPr>
        <w:spacing w:after="0" w:line="240" w:lineRule="auto"/>
        <w:ind w:left="1080" w:hanging="360"/>
      </w:pPr>
      <w:r w:rsidRPr="006B2200">
        <w:t>E.</w:t>
      </w:r>
      <w:r w:rsidRPr="006B2200">
        <w:tab/>
      </w:r>
      <w:r w:rsidR="003324DB">
        <w:t>E</w:t>
      </w:r>
      <w:r w:rsidRPr="006B2200">
        <w:t xml:space="preserve">xtent to which </w:t>
      </w:r>
      <w:r w:rsidR="006B2200" w:rsidRPr="006B2200">
        <w:t xml:space="preserve">MACCO </w:t>
      </w:r>
      <w:r w:rsidRPr="006B2200">
        <w:t>Grant funding contributed to program improvement and/or continued program viability</w:t>
      </w:r>
    </w:p>
    <w:p w14:paraId="721D7A4C" w14:textId="1254B766" w:rsidR="008D2A7D" w:rsidRDefault="008D2A7D" w:rsidP="008D2A7D">
      <w:pPr>
        <w:spacing w:after="0" w:line="240" w:lineRule="auto"/>
        <w:ind w:left="1080" w:hanging="360"/>
      </w:pPr>
      <w:r w:rsidRPr="006B2200">
        <w:lastRenderedPageBreak/>
        <w:t>F.</w:t>
      </w:r>
      <w:r w:rsidRPr="006B2200">
        <w:tab/>
        <w:t xml:space="preserve">Both quantitative and qualitative data, when available, should be included in the </w:t>
      </w:r>
      <w:r w:rsidR="003324DB">
        <w:t>Program Summary</w:t>
      </w:r>
    </w:p>
    <w:p w14:paraId="6FE9A2A1" w14:textId="77777777" w:rsidR="007C1543" w:rsidRDefault="007C1543" w:rsidP="007C1543">
      <w:pPr>
        <w:pStyle w:val="Caption"/>
        <w:keepNext/>
        <w:outlineLvl w:val="2"/>
      </w:pPr>
    </w:p>
    <w:p w14:paraId="7110DF6A" w14:textId="77777777" w:rsidR="00BB0496" w:rsidRDefault="00BB0496" w:rsidP="000468D7">
      <w:pPr>
        <w:pStyle w:val="Heading1"/>
      </w:pPr>
      <w:bookmarkStart w:id="10" w:name="_Toc80957412"/>
      <w:r>
        <w:t>GENERAL GUIDANCE</w:t>
      </w:r>
      <w:bookmarkEnd w:id="10"/>
    </w:p>
    <w:p w14:paraId="2F57D920" w14:textId="77777777" w:rsidR="00276CB3" w:rsidRDefault="00942FC9" w:rsidP="00BB0496">
      <w:pPr>
        <w:pStyle w:val="Heading2"/>
      </w:pPr>
      <w:bookmarkStart w:id="11" w:name="_Toc80957413"/>
      <w:r>
        <w:t>PERIOD OF ALLOWABLE USE</w:t>
      </w:r>
      <w:bookmarkEnd w:id="11"/>
    </w:p>
    <w:p w14:paraId="58315E97" w14:textId="4D22E710" w:rsidR="00182F71" w:rsidRPr="00B92F64" w:rsidRDefault="004C32A4" w:rsidP="00182F71">
      <w:pPr>
        <w:rPr>
          <w:color w:val="FF0000"/>
        </w:rPr>
      </w:pPr>
      <w:r>
        <w:t xml:space="preserve">Funds under </w:t>
      </w:r>
      <w:r w:rsidR="003324DB">
        <w:t xml:space="preserve">the MACCO Grant Programs </w:t>
      </w:r>
      <w:r w:rsidR="00FB76E3">
        <w:t xml:space="preserve">are </w:t>
      </w:r>
      <w:r w:rsidR="00182F71">
        <w:t>authorized by ARPA</w:t>
      </w:r>
      <w:r>
        <w:t xml:space="preserve">. As such these funds are available for obligation </w:t>
      </w:r>
      <w:r w:rsidR="00901642">
        <w:t xml:space="preserve">November 14, 2022 </w:t>
      </w:r>
      <w:r w:rsidR="00B92F64" w:rsidRPr="006B2200">
        <w:t>– December 30, 2024</w:t>
      </w:r>
      <w:r w:rsidRPr="006B2200">
        <w:t xml:space="preserve">. </w:t>
      </w:r>
      <w:r w:rsidR="00B92F64" w:rsidRPr="006B2200">
        <w:t xml:space="preserve"> </w:t>
      </w:r>
      <w:bookmarkStart w:id="12" w:name="_Toc80957414"/>
    </w:p>
    <w:bookmarkEnd w:id="12"/>
    <w:p w14:paraId="5AAF9B8A" w14:textId="44647279" w:rsidR="00810E73" w:rsidRPr="00810E73" w:rsidRDefault="00810E73" w:rsidP="00810E73">
      <w:pPr>
        <w:keepNext/>
        <w:keepLines/>
        <w:spacing w:before="40" w:after="0"/>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BONUSES, STIPENDS, AND EXTRA-DUTY PAY</w:t>
      </w:r>
    </w:p>
    <w:p w14:paraId="0F8EAFFC" w14:textId="236D8010" w:rsidR="004C32A4" w:rsidRPr="00833C02" w:rsidRDefault="004C32A4" w:rsidP="004C32A4">
      <w:pPr>
        <w:rPr>
          <w:rStyle w:val="Strong"/>
          <w:b w:val="0"/>
          <w:bCs w:val="0"/>
        </w:rPr>
      </w:pPr>
      <w:r w:rsidRPr="00833C02">
        <w:rPr>
          <w:rStyle w:val="Strong"/>
          <w:b w:val="0"/>
        </w:rPr>
        <w:t xml:space="preserve">Several Missouri constitutional provisions prohibit extra compensation to public employees.  In addition, the Teacher Tenure Act, case law, and Opinions of the Attorney General provide that in Missouri, it is unlawful to give bonuses to public employees.  When an LEA wants to compensate an employee for extra work beyond an employee’s regular contract, then the LEA must develop written documentation </w:t>
      </w:r>
      <w:r w:rsidRPr="00833C02">
        <w:rPr>
          <w:rStyle w:val="Strong"/>
          <w:b w:val="0"/>
          <w:i/>
          <w:iCs/>
        </w:rPr>
        <w:t>beforehand</w:t>
      </w:r>
      <w:r w:rsidRPr="00833C02">
        <w:rPr>
          <w:rStyle w:val="Strong"/>
          <w:b w:val="0"/>
        </w:rPr>
        <w:t xml:space="preserve"> that indicates the extra work performed, the date(s) of performance, and the amount or rate of pay to the employee. </w:t>
      </w:r>
      <w:r w:rsidRPr="00833C02">
        <w:rPr>
          <w:bCs/>
        </w:rPr>
        <w:t>If established, a signed written agreement between a representative of the LEA and the employee,</w:t>
      </w:r>
      <w:r w:rsidR="00AA76D9">
        <w:rPr>
          <w:bCs/>
        </w:rPr>
        <w:t xml:space="preserve"> showing acce</w:t>
      </w:r>
      <w:r w:rsidR="00825F78">
        <w:rPr>
          <w:bCs/>
        </w:rPr>
        <w:t xml:space="preserve">ptance of the term shall exist.  </w:t>
      </w:r>
      <w:r w:rsidR="00AA76D9">
        <w:rPr>
          <w:bCs/>
        </w:rPr>
        <w:t xml:space="preserve">If an LEA plans to pay compensation for work beyond </w:t>
      </w:r>
      <w:r w:rsidRPr="00833C02">
        <w:rPr>
          <w:rStyle w:val="Strong"/>
          <w:b w:val="0"/>
        </w:rPr>
        <w:t>an employee’s regular contract, proper processes must be in place to document the extra work performed.   </w:t>
      </w:r>
    </w:p>
    <w:p w14:paraId="70020C91" w14:textId="77777777" w:rsidR="004C32A4" w:rsidRPr="00833C02" w:rsidRDefault="004C32A4" w:rsidP="004C32A4">
      <w:r w:rsidRPr="00833C02">
        <w:lastRenderedPageBreak/>
        <w:t xml:space="preserve">In addition, if paid with federal funds, the employee must complete time and effort documentation that supports the extra work beyond the employee’s regular contract. This documentation could be a semi-annual time certification or monthly personnel activity reports. </w:t>
      </w:r>
    </w:p>
    <w:p w14:paraId="19A91575" w14:textId="77777777" w:rsidR="004C32A4" w:rsidRPr="00833C02" w:rsidRDefault="004C32A4" w:rsidP="004C32A4">
      <w:pPr>
        <w:autoSpaceDE w:val="0"/>
        <w:autoSpaceDN w:val="0"/>
        <w:spacing w:line="240" w:lineRule="auto"/>
      </w:pPr>
      <w:r w:rsidRPr="00833C02">
        <w:t>LEAs should consult their legal counsel with any questions about these provisions.</w:t>
      </w:r>
    </w:p>
    <w:p w14:paraId="271AE548" w14:textId="2DE45A07" w:rsidR="00810E73" w:rsidRPr="00810E73" w:rsidRDefault="00810E73" w:rsidP="00810E73">
      <w:pPr>
        <w:keepNext/>
        <w:keepLines/>
        <w:spacing w:before="40" w:after="0"/>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TIME AND EFFORT</w:t>
      </w:r>
    </w:p>
    <w:p w14:paraId="1920C49D" w14:textId="77777777" w:rsidR="00B74EA5" w:rsidRPr="00833C02" w:rsidRDefault="00B74EA5" w:rsidP="00B74EA5">
      <w:pPr>
        <w:spacing w:after="0" w:line="240" w:lineRule="auto"/>
      </w:pPr>
      <w:r w:rsidRPr="00833C02">
        <w:t xml:space="preserve">The requirements in the Uniform Guidance apply to expenditures of </w:t>
      </w:r>
      <w:r w:rsidR="00182F71" w:rsidRPr="00833C02">
        <w:t>ARPA</w:t>
      </w:r>
      <w:r w:rsidR="008565C4" w:rsidRPr="00833C02">
        <w:t xml:space="preserve"> </w:t>
      </w:r>
      <w:r w:rsidRPr="00833C02">
        <w:t>funds, including the requirements related to documenting personnel expenses in 2 CFR § 200.430(i). Except as described below, this would mean an LEA maintains the records for salaries and wages, including for employees in leave status, as long as payments to employees in leave status are made consistent with grantee policies and procedures that apply to all employees, whether they are paid with federal or other funds. </w:t>
      </w:r>
      <w:r w:rsidR="004F1AE8" w:rsidRPr="00833C02">
        <w:t>You can find m</w:t>
      </w:r>
      <w:r w:rsidRPr="00833C02">
        <w:t xml:space="preserve">ore information on paying employees in leave status at </w:t>
      </w:r>
      <w:hyperlink r:id="rId12" w:history="1">
        <w:r w:rsidRPr="00833C02">
          <w:rPr>
            <w:bCs/>
          </w:rPr>
          <w:t>U.S. Department of Education Novel Coronavirus Disease Fact Sheet</w:t>
        </w:r>
      </w:hyperlink>
      <w:r w:rsidRPr="00833C02">
        <w:t xml:space="preserve">. </w:t>
      </w:r>
    </w:p>
    <w:p w14:paraId="19238225" w14:textId="77777777" w:rsidR="00B74EA5" w:rsidRPr="00833C02" w:rsidRDefault="00B74EA5" w:rsidP="00B74EA5">
      <w:pPr>
        <w:spacing w:after="0" w:line="240" w:lineRule="auto"/>
      </w:pPr>
    </w:p>
    <w:p w14:paraId="02448762" w14:textId="77777777" w:rsidR="00B74EA5" w:rsidRPr="00833C02" w:rsidRDefault="00B74EA5" w:rsidP="00EF4936">
      <w:pPr>
        <w:spacing w:line="240" w:lineRule="auto"/>
      </w:pPr>
      <w:r w:rsidRPr="00833C02">
        <w:t xml:space="preserve">LEAs must maintain time distribution records (sometimes called “time and effort” reporting) only if an individual employee is splitting his or her time between activities that may be funded under </w:t>
      </w:r>
      <w:r w:rsidR="00182F71" w:rsidRPr="00833C02">
        <w:t>ARPA</w:t>
      </w:r>
      <w:r w:rsidRPr="00833C02">
        <w:t xml:space="preserve"> and activities that are not allowable under </w:t>
      </w:r>
      <w:r w:rsidR="00182F71" w:rsidRPr="00833C02">
        <w:t>ARPA</w:t>
      </w:r>
      <w:r w:rsidRPr="00833C02">
        <w:t xml:space="preserve">. However, there will be very few </w:t>
      </w:r>
      <w:r w:rsidRPr="00833C02">
        <w:lastRenderedPageBreak/>
        <w:t xml:space="preserve">situations when an employee of an LEA would perform multiple activities where some are not allowable under </w:t>
      </w:r>
      <w:r w:rsidR="00182F71" w:rsidRPr="00833C02">
        <w:t>ARPA</w:t>
      </w:r>
      <w:r w:rsidRPr="00833C02">
        <w:t>, and thus would be required to maintain time distribution records. </w:t>
      </w:r>
    </w:p>
    <w:p w14:paraId="1A0A6816" w14:textId="77777777" w:rsidR="00B74EA5" w:rsidRPr="005219C2" w:rsidRDefault="00942FC9" w:rsidP="00BB0496">
      <w:pPr>
        <w:pStyle w:val="Heading2"/>
      </w:pPr>
      <w:bookmarkStart w:id="13" w:name="_Toc80957416"/>
      <w:r w:rsidRPr="005219C2">
        <w:t xml:space="preserve">EQUITABLE </w:t>
      </w:r>
      <w:r w:rsidR="007011B2" w:rsidRPr="005219C2">
        <w:t>SERVICES</w:t>
      </w:r>
      <w:r w:rsidRPr="005219C2">
        <w:t xml:space="preserve"> UNDER</w:t>
      </w:r>
      <w:r w:rsidR="00AB5051" w:rsidRPr="005219C2">
        <w:t xml:space="preserve"> </w:t>
      </w:r>
      <w:bookmarkEnd w:id="13"/>
      <w:r w:rsidR="00CA6E08" w:rsidRPr="005219C2">
        <w:t>ARPA</w:t>
      </w:r>
    </w:p>
    <w:p w14:paraId="1C47D14A" w14:textId="77777777" w:rsidR="00B74EA5" w:rsidRPr="005219C2" w:rsidRDefault="00B74EA5" w:rsidP="00EF4936">
      <w:pPr>
        <w:rPr>
          <w:rFonts w:cstheme="minorHAnsi"/>
          <w:color w:val="000000" w:themeColor="text1"/>
        </w:rPr>
      </w:pPr>
      <w:r w:rsidRPr="005219C2">
        <w:rPr>
          <w:rFonts w:cstheme="minorHAnsi"/>
          <w:color w:val="000000" w:themeColor="text1"/>
        </w:rPr>
        <w:t xml:space="preserve">LEAs are not required to provide equitable services to non-public schools under </w:t>
      </w:r>
      <w:r w:rsidR="00182F71" w:rsidRPr="005219C2">
        <w:rPr>
          <w:rFonts w:cstheme="minorHAnsi"/>
          <w:color w:val="000000" w:themeColor="text1"/>
        </w:rPr>
        <w:t>ARPA</w:t>
      </w:r>
      <w:r w:rsidRPr="005219C2">
        <w:rPr>
          <w:rFonts w:cstheme="minorHAnsi"/>
          <w:color w:val="000000" w:themeColor="text1"/>
        </w:rPr>
        <w:t xml:space="preserve">. </w:t>
      </w:r>
    </w:p>
    <w:p w14:paraId="0A34BE55" w14:textId="0F151610" w:rsidR="00B74EA5" w:rsidRPr="005219C2" w:rsidRDefault="00AA76D9" w:rsidP="00BB0496">
      <w:pPr>
        <w:pStyle w:val="Heading2"/>
      </w:pPr>
      <w:r>
        <w:t>LOCAL MATCH REQUIREMENT</w:t>
      </w:r>
    </w:p>
    <w:p w14:paraId="231D76B5" w14:textId="77C3B172" w:rsidR="00987B09" w:rsidRDefault="00987B09" w:rsidP="00987B09">
      <w:r w:rsidRPr="005219C2">
        <w:t xml:space="preserve">LEA grant match cannot </w:t>
      </w:r>
      <w:r w:rsidR="00AA76D9">
        <w:t xml:space="preserve">use </w:t>
      </w:r>
      <w:r w:rsidRPr="005219C2">
        <w:t>other federal funds.</w:t>
      </w:r>
      <w:bookmarkStart w:id="14" w:name="_Toc80957418"/>
    </w:p>
    <w:p w14:paraId="29C0547F" w14:textId="52D70BF2" w:rsidR="007370DB" w:rsidRPr="007370DB" w:rsidRDefault="007370DB" w:rsidP="007370DB">
      <w:pPr>
        <w:keepNext/>
        <w:keepLines/>
        <w:spacing w:before="40" w:after="0"/>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OBLIGATION OF FUNDS</w:t>
      </w:r>
    </w:p>
    <w:bookmarkEnd w:id="14"/>
    <w:p w14:paraId="5C01D341" w14:textId="0EB6CFA8" w:rsidR="006B3C87" w:rsidRPr="00DC4559" w:rsidRDefault="006B2200" w:rsidP="006B3C87">
      <w:pPr>
        <w:spacing w:after="0" w:line="240" w:lineRule="auto"/>
      </w:pPr>
      <w:r>
        <w:t xml:space="preserve">MACCO </w:t>
      </w:r>
      <w:r w:rsidR="006B3C87" w:rsidRPr="003D086C">
        <w:t xml:space="preserve">funds will remain available for obligation </w:t>
      </w:r>
      <w:r w:rsidR="006B3C87" w:rsidRPr="00DC4559">
        <w:t xml:space="preserve">through </w:t>
      </w:r>
      <w:r w:rsidR="00837C27" w:rsidRPr="00DC4559">
        <w:t xml:space="preserve">December </w:t>
      </w:r>
      <w:r w:rsidR="006B3C87" w:rsidRPr="00DC4559">
        <w:t>30, 202</w:t>
      </w:r>
      <w:r w:rsidR="00837C27" w:rsidRPr="00DC4559">
        <w:t>4</w:t>
      </w:r>
      <w:r w:rsidR="006B3C87" w:rsidRPr="00DC4559">
        <w:t xml:space="preserve"> </w:t>
      </w:r>
      <w:bookmarkStart w:id="15" w:name="_Hlk38028238"/>
      <w:r w:rsidR="006B3C87" w:rsidRPr="00DC4559">
        <w:t xml:space="preserve">and will be available </w:t>
      </w:r>
      <w:bookmarkEnd w:id="15"/>
      <w:r w:rsidR="005219C2" w:rsidRPr="00DC4559">
        <w:t xml:space="preserve">for </w:t>
      </w:r>
      <w:r w:rsidR="00837C27" w:rsidRPr="00DC4559">
        <w:t>expending funds to December 30, 2026</w:t>
      </w:r>
      <w:r w:rsidR="005219C2" w:rsidRPr="00DC4559">
        <w:t>.</w:t>
      </w:r>
    </w:p>
    <w:p w14:paraId="4D124233" w14:textId="77777777" w:rsidR="006B3C87" w:rsidRPr="003D086C" w:rsidRDefault="006B3C87" w:rsidP="006B3C87">
      <w:pPr>
        <w:spacing w:after="0" w:line="240" w:lineRule="auto"/>
      </w:pPr>
    </w:p>
    <w:p w14:paraId="50827358" w14:textId="4825416D" w:rsidR="006B3C87" w:rsidRPr="003D086C" w:rsidRDefault="006B3C87" w:rsidP="00EF4936">
      <w:pPr>
        <w:autoSpaceDE w:val="0"/>
        <w:autoSpaceDN w:val="0"/>
        <w:adjustRightInd w:val="0"/>
        <w:spacing w:line="240" w:lineRule="auto"/>
        <w:jc w:val="both"/>
        <w:rPr>
          <w:rFonts w:cstheme="minorHAnsi"/>
          <w:color w:val="000000"/>
        </w:rPr>
      </w:pPr>
      <w:r w:rsidRPr="003D086C">
        <w:rPr>
          <w:rFonts w:cstheme="minorHAnsi"/>
          <w:color w:val="000000"/>
        </w:rPr>
        <w:t xml:space="preserve">An obligation is a purchase order, a contract, a service, or similar transaction during a given period that requires payment by the </w:t>
      </w:r>
      <w:r w:rsidR="00506AB0">
        <w:rPr>
          <w:rFonts w:cstheme="minorHAnsi"/>
          <w:color w:val="000000"/>
        </w:rPr>
        <w:t xml:space="preserve">MACCO grant </w:t>
      </w:r>
      <w:r w:rsidRPr="003D086C">
        <w:rPr>
          <w:rFonts w:cstheme="minorHAnsi"/>
          <w:color w:val="000000"/>
        </w:rPr>
        <w:t xml:space="preserve">recipient. </w:t>
      </w:r>
    </w:p>
    <w:p w14:paraId="378FE87C" w14:textId="6B71E452" w:rsidR="006B3C87" w:rsidRPr="003D086C" w:rsidRDefault="006B3C87" w:rsidP="006B3C87">
      <w:pPr>
        <w:spacing w:after="0" w:line="240" w:lineRule="auto"/>
        <w:jc w:val="both"/>
        <w:rPr>
          <w:rFonts w:cstheme="minorHAnsi"/>
        </w:rPr>
      </w:pPr>
      <w:r w:rsidRPr="003D086C">
        <w:rPr>
          <w:rFonts w:cstheme="minorHAnsi"/>
        </w:rPr>
        <w:t>The LEA may use</w:t>
      </w:r>
      <w:r w:rsidR="00506AB0">
        <w:rPr>
          <w:rFonts w:cstheme="minorHAnsi"/>
        </w:rPr>
        <w:t xml:space="preserve"> MACCO</w:t>
      </w:r>
      <w:r w:rsidRPr="003D086C">
        <w:rPr>
          <w:rFonts w:cstheme="minorHAnsi"/>
        </w:rPr>
        <w:t xml:space="preserve"> grant funds only for obligations made </w:t>
      </w:r>
      <w:r w:rsidRPr="003D086C">
        <w:rPr>
          <w:rFonts w:cstheme="minorHAnsi"/>
          <w:spacing w:val="-3"/>
        </w:rPr>
        <w:t xml:space="preserve">during </w:t>
      </w:r>
      <w:r w:rsidRPr="003D086C">
        <w:rPr>
          <w:rFonts w:cstheme="minorHAnsi"/>
        </w:rPr>
        <w:t xml:space="preserve">the grant </w:t>
      </w:r>
      <w:r w:rsidRPr="003D086C">
        <w:rPr>
          <w:rFonts w:cstheme="minorHAnsi"/>
          <w:spacing w:val="-3"/>
        </w:rPr>
        <w:t xml:space="preserve">period. </w:t>
      </w:r>
      <w:r w:rsidRPr="003D086C">
        <w:rPr>
          <w:rFonts w:cstheme="minorHAnsi"/>
        </w:rPr>
        <w:t xml:space="preserve">The </w:t>
      </w:r>
      <w:r w:rsidRPr="003D086C">
        <w:rPr>
          <w:rFonts w:cstheme="minorHAnsi"/>
          <w:spacing w:val="-3"/>
        </w:rPr>
        <w:t>following</w:t>
      </w:r>
      <w:r w:rsidRPr="003D086C">
        <w:rPr>
          <w:rFonts w:cstheme="minorHAnsi"/>
          <w:spacing w:val="-1"/>
        </w:rPr>
        <w:t xml:space="preserve"> </w:t>
      </w:r>
      <w:r w:rsidRPr="003D086C">
        <w:rPr>
          <w:rFonts w:cstheme="minorHAnsi"/>
        </w:rPr>
        <w:t xml:space="preserve">table </w:t>
      </w:r>
      <w:r w:rsidRPr="003D086C">
        <w:rPr>
          <w:rFonts w:cstheme="minorHAnsi"/>
          <w:spacing w:val="-3"/>
        </w:rPr>
        <w:t xml:space="preserve">shows when </w:t>
      </w:r>
      <w:r w:rsidRPr="003D086C">
        <w:rPr>
          <w:rFonts w:cstheme="minorHAnsi"/>
        </w:rPr>
        <w:t xml:space="preserve">an obligation is made for </w:t>
      </w:r>
      <w:r w:rsidRPr="003D086C">
        <w:rPr>
          <w:rFonts w:cstheme="minorHAnsi"/>
          <w:spacing w:val="-3"/>
        </w:rPr>
        <w:t xml:space="preserve">various </w:t>
      </w:r>
      <w:r w:rsidRPr="003D086C">
        <w:rPr>
          <w:rFonts w:cstheme="minorHAnsi"/>
        </w:rPr>
        <w:t xml:space="preserve">kinds </w:t>
      </w:r>
      <w:r w:rsidRPr="003D086C">
        <w:rPr>
          <w:rFonts w:cstheme="minorHAnsi"/>
          <w:spacing w:val="-3"/>
        </w:rPr>
        <w:t xml:space="preserve">of </w:t>
      </w:r>
      <w:r w:rsidRPr="003D086C">
        <w:rPr>
          <w:rFonts w:cstheme="minorHAnsi"/>
        </w:rPr>
        <w:t xml:space="preserve">property and services. </w:t>
      </w:r>
    </w:p>
    <w:p w14:paraId="26D6BE02" w14:textId="77777777" w:rsidR="006B3C87" w:rsidRPr="003D086C" w:rsidRDefault="006B3C87" w:rsidP="006B3C87">
      <w:pPr>
        <w:spacing w:after="0"/>
        <w:rPr>
          <w:rFonts w:eastAsia="Arial" w:cstheme="minorHAnsi"/>
        </w:rPr>
      </w:pPr>
    </w:p>
    <w:tbl>
      <w:tblPr>
        <w:tblW w:w="9697" w:type="dxa"/>
        <w:tblInd w:w="6" w:type="dxa"/>
        <w:tblLayout w:type="fixed"/>
        <w:tblCellMar>
          <w:left w:w="0" w:type="dxa"/>
          <w:right w:w="0" w:type="dxa"/>
        </w:tblCellMar>
        <w:tblLook w:val="01E0" w:firstRow="1" w:lastRow="1" w:firstColumn="1" w:lastColumn="1" w:noHBand="0" w:noVBand="0"/>
      </w:tblPr>
      <w:tblGrid>
        <w:gridCol w:w="4896"/>
        <w:gridCol w:w="4801"/>
      </w:tblGrid>
      <w:tr w:rsidR="006B3C87" w:rsidRPr="003D086C" w14:paraId="71AAE94B" w14:textId="77777777" w:rsidTr="00876BBD">
        <w:trPr>
          <w:trHeight w:hRule="exact" w:val="264"/>
        </w:trPr>
        <w:tc>
          <w:tcPr>
            <w:tcW w:w="4896" w:type="dxa"/>
            <w:tcBorders>
              <w:top w:val="single" w:sz="5" w:space="0" w:color="000000"/>
              <w:left w:val="single" w:sz="5" w:space="0" w:color="000000"/>
              <w:bottom w:val="single" w:sz="5" w:space="0" w:color="000000"/>
              <w:right w:val="single" w:sz="5" w:space="0" w:color="000000"/>
            </w:tcBorders>
          </w:tcPr>
          <w:p w14:paraId="174407DB" w14:textId="77777777" w:rsidR="006B3C87" w:rsidRPr="003D086C" w:rsidRDefault="006B3C87" w:rsidP="00876BBD">
            <w:pPr>
              <w:widowControl w:val="0"/>
              <w:spacing w:after="0" w:line="240" w:lineRule="auto"/>
              <w:ind w:left="81"/>
              <w:rPr>
                <w:rFonts w:eastAsia="Arial" w:cstheme="minorHAnsi"/>
              </w:rPr>
            </w:pPr>
            <w:r w:rsidRPr="003D086C">
              <w:rPr>
                <w:rFonts w:cstheme="minorHAnsi"/>
                <w:b/>
              </w:rPr>
              <w:t xml:space="preserve">IF </w:t>
            </w:r>
            <w:r w:rsidRPr="003D086C">
              <w:rPr>
                <w:rFonts w:cstheme="minorHAnsi"/>
                <w:b/>
                <w:spacing w:val="-4"/>
              </w:rPr>
              <w:t xml:space="preserve">THE </w:t>
            </w:r>
            <w:r w:rsidRPr="003D086C">
              <w:rPr>
                <w:rFonts w:cstheme="minorHAnsi"/>
                <w:b/>
              </w:rPr>
              <w:t>OBLIGATION IS</w:t>
            </w:r>
            <w:r w:rsidRPr="003D086C">
              <w:rPr>
                <w:rFonts w:cstheme="minorHAnsi"/>
                <w:b/>
                <w:spacing w:val="-9"/>
              </w:rPr>
              <w:t xml:space="preserve"> </w:t>
            </w:r>
            <w:r w:rsidRPr="003D086C">
              <w:rPr>
                <w:rFonts w:cstheme="minorHAnsi"/>
                <w:b/>
                <w:spacing w:val="-4"/>
              </w:rPr>
              <w:t>FOR--</w:t>
            </w:r>
          </w:p>
        </w:tc>
        <w:tc>
          <w:tcPr>
            <w:tcW w:w="4801" w:type="dxa"/>
            <w:tcBorders>
              <w:top w:val="single" w:sz="5" w:space="0" w:color="000000"/>
              <w:left w:val="single" w:sz="5" w:space="0" w:color="000000"/>
              <w:bottom w:val="single" w:sz="5" w:space="0" w:color="000000"/>
              <w:right w:val="single" w:sz="5" w:space="0" w:color="000000"/>
            </w:tcBorders>
          </w:tcPr>
          <w:p w14:paraId="27EE07B8" w14:textId="77777777" w:rsidR="006B3C87" w:rsidRPr="003D086C" w:rsidRDefault="006B3C87" w:rsidP="00876BBD">
            <w:pPr>
              <w:widowControl w:val="0"/>
              <w:spacing w:after="0" w:line="240" w:lineRule="auto"/>
              <w:ind w:left="129"/>
              <w:rPr>
                <w:rFonts w:eastAsia="Arial" w:cstheme="minorHAnsi"/>
              </w:rPr>
            </w:pPr>
            <w:r w:rsidRPr="003D086C">
              <w:rPr>
                <w:rFonts w:cstheme="minorHAnsi"/>
                <w:b/>
              </w:rPr>
              <w:t xml:space="preserve">THEN </w:t>
            </w:r>
            <w:r w:rsidRPr="003D086C">
              <w:rPr>
                <w:rFonts w:cstheme="minorHAnsi"/>
                <w:b/>
                <w:spacing w:val="-4"/>
              </w:rPr>
              <w:t xml:space="preserve">THE </w:t>
            </w:r>
            <w:r w:rsidRPr="003D086C">
              <w:rPr>
                <w:rFonts w:cstheme="minorHAnsi"/>
                <w:b/>
              </w:rPr>
              <w:t>OBLIGATION IS</w:t>
            </w:r>
            <w:r w:rsidRPr="003D086C">
              <w:rPr>
                <w:rFonts w:cstheme="minorHAnsi"/>
                <w:b/>
                <w:spacing w:val="-8"/>
              </w:rPr>
              <w:t xml:space="preserve"> </w:t>
            </w:r>
            <w:r w:rsidRPr="003D086C">
              <w:rPr>
                <w:rFonts w:cstheme="minorHAnsi"/>
                <w:b/>
                <w:spacing w:val="-4"/>
              </w:rPr>
              <w:t>MADE--</w:t>
            </w:r>
          </w:p>
        </w:tc>
      </w:tr>
      <w:tr w:rsidR="006B3C87" w:rsidRPr="003D086C" w14:paraId="19F53099" w14:textId="77777777" w:rsidTr="00876BBD">
        <w:trPr>
          <w:trHeight w:val="144"/>
        </w:trPr>
        <w:tc>
          <w:tcPr>
            <w:tcW w:w="4896" w:type="dxa"/>
            <w:tcBorders>
              <w:top w:val="single" w:sz="5" w:space="0" w:color="000000"/>
              <w:left w:val="single" w:sz="5" w:space="0" w:color="000000"/>
              <w:bottom w:val="single" w:sz="5" w:space="0" w:color="000000"/>
              <w:right w:val="single" w:sz="5" w:space="0" w:color="000000"/>
            </w:tcBorders>
            <w:vAlign w:val="center"/>
          </w:tcPr>
          <w:p w14:paraId="14FB7CCE" w14:textId="77777777" w:rsidR="006B3C87" w:rsidRPr="003D086C" w:rsidRDefault="006B3C87" w:rsidP="00876BBD">
            <w:pPr>
              <w:widowControl w:val="0"/>
              <w:spacing w:after="0" w:line="240" w:lineRule="auto"/>
              <w:ind w:left="79"/>
              <w:rPr>
                <w:rFonts w:eastAsia="Arial" w:cstheme="minorHAnsi"/>
              </w:rPr>
            </w:pPr>
            <w:r w:rsidRPr="003D086C">
              <w:rPr>
                <w:rFonts w:cstheme="minorHAnsi"/>
              </w:rPr>
              <w:t xml:space="preserve">Personal services by a contractor </w:t>
            </w:r>
            <w:r w:rsidRPr="003D086C">
              <w:rPr>
                <w:rFonts w:cstheme="minorHAnsi"/>
                <w:spacing w:val="-3"/>
              </w:rPr>
              <w:t xml:space="preserve">who </w:t>
            </w:r>
            <w:r w:rsidRPr="003D086C">
              <w:rPr>
                <w:rFonts w:cstheme="minorHAnsi"/>
              </w:rPr>
              <w:t>is</w:t>
            </w:r>
            <w:r>
              <w:rPr>
                <w:rFonts w:cstheme="minorHAnsi"/>
              </w:rPr>
              <w:t xml:space="preserve"> </w:t>
            </w:r>
            <w:r w:rsidRPr="003D086C">
              <w:rPr>
                <w:rFonts w:cstheme="minorHAnsi"/>
                <w:spacing w:val="-38"/>
              </w:rPr>
              <w:t xml:space="preserve"> </w:t>
            </w:r>
            <w:r w:rsidRPr="003D086C">
              <w:rPr>
                <w:rFonts w:cstheme="minorHAnsi"/>
              </w:rPr>
              <w:t xml:space="preserve">not an </w:t>
            </w:r>
            <w:r w:rsidRPr="003D086C">
              <w:rPr>
                <w:rFonts w:cstheme="minorHAnsi"/>
                <w:spacing w:val="-4"/>
              </w:rPr>
              <w:t xml:space="preserve">employee </w:t>
            </w:r>
            <w:r w:rsidRPr="003D086C">
              <w:rPr>
                <w:rFonts w:cstheme="minorHAnsi"/>
              </w:rPr>
              <w:t>of the State or</w:t>
            </w:r>
            <w:r w:rsidRPr="003D086C">
              <w:rPr>
                <w:rFonts w:cstheme="minorHAnsi"/>
                <w:spacing w:val="9"/>
              </w:rPr>
              <w:t xml:space="preserve"> </w:t>
            </w:r>
            <w:r w:rsidRPr="003D086C">
              <w:rPr>
                <w:rFonts w:cstheme="minorHAnsi"/>
              </w:rPr>
              <w:t>LEA</w:t>
            </w:r>
          </w:p>
        </w:tc>
        <w:tc>
          <w:tcPr>
            <w:tcW w:w="4801" w:type="dxa"/>
            <w:tcBorders>
              <w:top w:val="single" w:sz="5" w:space="0" w:color="000000"/>
              <w:left w:val="single" w:sz="5" w:space="0" w:color="000000"/>
              <w:bottom w:val="single" w:sz="5" w:space="0" w:color="000000"/>
              <w:right w:val="single" w:sz="5" w:space="0" w:color="000000"/>
            </w:tcBorders>
            <w:vAlign w:val="center"/>
          </w:tcPr>
          <w:p w14:paraId="0EEFA0B6" w14:textId="77777777" w:rsidR="006B3C87" w:rsidRPr="003D086C" w:rsidRDefault="006B3C87" w:rsidP="00876BBD">
            <w:pPr>
              <w:widowControl w:val="0"/>
              <w:spacing w:after="0" w:line="240" w:lineRule="auto"/>
              <w:ind w:left="132"/>
              <w:rPr>
                <w:rFonts w:eastAsia="Arial" w:cstheme="minorHAnsi"/>
              </w:rPr>
            </w:pPr>
            <w:r w:rsidRPr="003D086C">
              <w:rPr>
                <w:rFonts w:cstheme="minorHAnsi"/>
              </w:rPr>
              <w:t>On</w:t>
            </w:r>
            <w:r w:rsidRPr="003D086C">
              <w:rPr>
                <w:rFonts w:cstheme="minorHAnsi"/>
                <w:spacing w:val="-4"/>
              </w:rPr>
              <w:t xml:space="preserve"> </w:t>
            </w:r>
            <w:r w:rsidRPr="003D086C">
              <w:rPr>
                <w:rFonts w:cstheme="minorHAnsi"/>
              </w:rPr>
              <w:t>the</w:t>
            </w:r>
            <w:r w:rsidRPr="003D086C">
              <w:rPr>
                <w:rFonts w:cstheme="minorHAnsi"/>
                <w:spacing w:val="-2"/>
              </w:rPr>
              <w:t xml:space="preserve"> </w:t>
            </w:r>
            <w:r w:rsidRPr="003D086C">
              <w:rPr>
                <w:rFonts w:cstheme="minorHAnsi"/>
              </w:rPr>
              <w:t>date</w:t>
            </w:r>
            <w:r w:rsidRPr="003D086C">
              <w:rPr>
                <w:rFonts w:cstheme="minorHAnsi"/>
                <w:spacing w:val="-2"/>
              </w:rPr>
              <w:t xml:space="preserve"> </w:t>
            </w:r>
            <w:r w:rsidRPr="003D086C">
              <w:rPr>
                <w:rFonts w:cstheme="minorHAnsi"/>
              </w:rPr>
              <w:t>on</w:t>
            </w:r>
            <w:r w:rsidRPr="003D086C">
              <w:rPr>
                <w:rFonts w:cstheme="minorHAnsi"/>
                <w:spacing w:val="-2"/>
              </w:rPr>
              <w:t xml:space="preserve"> </w:t>
            </w:r>
            <w:r w:rsidRPr="003D086C">
              <w:rPr>
                <w:rFonts w:cstheme="minorHAnsi"/>
                <w:spacing w:val="-4"/>
              </w:rPr>
              <w:t>which</w:t>
            </w:r>
            <w:r w:rsidRPr="003D086C">
              <w:rPr>
                <w:rFonts w:cstheme="minorHAnsi"/>
                <w:spacing w:val="-2"/>
              </w:rPr>
              <w:t xml:space="preserve"> </w:t>
            </w:r>
            <w:r w:rsidRPr="003D086C">
              <w:rPr>
                <w:rFonts w:cstheme="minorHAnsi"/>
              </w:rPr>
              <w:t>the</w:t>
            </w:r>
            <w:r w:rsidRPr="003D086C">
              <w:rPr>
                <w:rFonts w:cstheme="minorHAnsi"/>
                <w:spacing w:val="-2"/>
              </w:rPr>
              <w:t xml:space="preserve"> </w:t>
            </w:r>
            <w:r w:rsidRPr="003D086C">
              <w:rPr>
                <w:rFonts w:cstheme="minorHAnsi"/>
              </w:rPr>
              <w:t>State</w:t>
            </w:r>
            <w:r w:rsidRPr="003D086C">
              <w:rPr>
                <w:rFonts w:cstheme="minorHAnsi"/>
                <w:spacing w:val="-4"/>
              </w:rPr>
              <w:t xml:space="preserve"> </w:t>
            </w:r>
            <w:r w:rsidRPr="003D086C">
              <w:rPr>
                <w:rFonts w:cstheme="minorHAnsi"/>
                <w:spacing w:val="-3"/>
              </w:rPr>
              <w:t xml:space="preserve">or </w:t>
            </w:r>
            <w:r w:rsidRPr="003D086C">
              <w:rPr>
                <w:rFonts w:cstheme="minorHAnsi"/>
              </w:rPr>
              <w:t xml:space="preserve">LEA makes a </w:t>
            </w:r>
            <w:r w:rsidRPr="003D086C">
              <w:rPr>
                <w:rFonts w:cstheme="minorHAnsi"/>
                <w:spacing w:val="-3"/>
              </w:rPr>
              <w:t>binding</w:t>
            </w:r>
            <w:r w:rsidRPr="003D086C">
              <w:rPr>
                <w:rFonts w:cstheme="minorHAnsi"/>
                <w:spacing w:val="-23"/>
              </w:rPr>
              <w:t xml:space="preserve"> </w:t>
            </w:r>
            <w:r w:rsidRPr="003D086C">
              <w:rPr>
                <w:rFonts w:cstheme="minorHAnsi"/>
              </w:rPr>
              <w:t xml:space="preserve">written commitment to obtain </w:t>
            </w:r>
            <w:r>
              <w:rPr>
                <w:rFonts w:cstheme="minorHAnsi"/>
              </w:rPr>
              <w:t>the services</w:t>
            </w:r>
          </w:p>
        </w:tc>
      </w:tr>
      <w:tr w:rsidR="006B3C87" w:rsidRPr="003D086C" w14:paraId="00C1A9D3" w14:textId="77777777" w:rsidTr="00876BBD">
        <w:trPr>
          <w:trHeight w:val="144"/>
        </w:trPr>
        <w:tc>
          <w:tcPr>
            <w:tcW w:w="4896" w:type="dxa"/>
            <w:tcBorders>
              <w:top w:val="single" w:sz="5" w:space="0" w:color="000000"/>
              <w:left w:val="single" w:sz="5" w:space="0" w:color="000000"/>
              <w:bottom w:val="single" w:sz="5" w:space="0" w:color="000000"/>
              <w:right w:val="single" w:sz="5" w:space="0" w:color="000000"/>
            </w:tcBorders>
            <w:vAlign w:val="center"/>
          </w:tcPr>
          <w:p w14:paraId="6E56262F" w14:textId="77777777" w:rsidR="006B3C87" w:rsidRPr="003D086C" w:rsidRDefault="006B3C87" w:rsidP="00876BBD">
            <w:pPr>
              <w:widowControl w:val="0"/>
              <w:spacing w:after="0" w:line="240" w:lineRule="auto"/>
              <w:ind w:left="79"/>
              <w:rPr>
                <w:rFonts w:eastAsia="Arial" w:cstheme="minorHAnsi"/>
              </w:rPr>
            </w:pPr>
            <w:r w:rsidRPr="003D086C">
              <w:rPr>
                <w:rFonts w:cstheme="minorHAnsi"/>
              </w:rPr>
              <w:t xml:space="preserve">Performance </w:t>
            </w:r>
            <w:r w:rsidRPr="003D086C">
              <w:rPr>
                <w:rFonts w:cstheme="minorHAnsi"/>
                <w:spacing w:val="-3"/>
              </w:rPr>
              <w:t xml:space="preserve">of work </w:t>
            </w:r>
            <w:r w:rsidRPr="003D086C">
              <w:rPr>
                <w:rFonts w:cstheme="minorHAnsi"/>
              </w:rPr>
              <w:t>other than</w:t>
            </w:r>
            <w:r w:rsidRPr="003D086C">
              <w:rPr>
                <w:rFonts w:cstheme="minorHAnsi"/>
                <w:spacing w:val="-22"/>
              </w:rPr>
              <w:t xml:space="preserve"> </w:t>
            </w:r>
            <w:r w:rsidRPr="003D086C">
              <w:rPr>
                <w:rFonts w:cstheme="minorHAnsi"/>
              </w:rPr>
              <w:t>personal services</w:t>
            </w:r>
          </w:p>
        </w:tc>
        <w:tc>
          <w:tcPr>
            <w:tcW w:w="4801" w:type="dxa"/>
            <w:tcBorders>
              <w:top w:val="single" w:sz="5" w:space="0" w:color="000000"/>
              <w:left w:val="single" w:sz="5" w:space="0" w:color="000000"/>
              <w:bottom w:val="single" w:sz="5" w:space="0" w:color="000000"/>
              <w:right w:val="single" w:sz="5" w:space="0" w:color="000000"/>
            </w:tcBorders>
            <w:vAlign w:val="center"/>
          </w:tcPr>
          <w:p w14:paraId="7A03D9A6" w14:textId="77777777" w:rsidR="006B3C87" w:rsidRPr="003D086C" w:rsidRDefault="006B3C87" w:rsidP="00876BBD">
            <w:pPr>
              <w:widowControl w:val="0"/>
              <w:spacing w:after="0" w:line="240" w:lineRule="auto"/>
              <w:ind w:left="132"/>
              <w:rPr>
                <w:rFonts w:eastAsia="Arial" w:cstheme="minorHAnsi"/>
              </w:rPr>
            </w:pPr>
            <w:r w:rsidRPr="003D086C">
              <w:rPr>
                <w:rFonts w:cstheme="minorHAnsi"/>
              </w:rPr>
              <w:t>On</w:t>
            </w:r>
            <w:r w:rsidRPr="003D086C">
              <w:rPr>
                <w:rFonts w:cstheme="minorHAnsi"/>
                <w:spacing w:val="-4"/>
              </w:rPr>
              <w:t xml:space="preserve"> </w:t>
            </w:r>
            <w:r w:rsidRPr="003D086C">
              <w:rPr>
                <w:rFonts w:cstheme="minorHAnsi"/>
              </w:rPr>
              <w:t>the</w:t>
            </w:r>
            <w:r w:rsidRPr="003D086C">
              <w:rPr>
                <w:rFonts w:cstheme="minorHAnsi"/>
                <w:spacing w:val="-2"/>
              </w:rPr>
              <w:t xml:space="preserve"> </w:t>
            </w:r>
            <w:r w:rsidRPr="003D086C">
              <w:rPr>
                <w:rFonts w:cstheme="minorHAnsi"/>
              </w:rPr>
              <w:t>date</w:t>
            </w:r>
            <w:r w:rsidRPr="003D086C">
              <w:rPr>
                <w:rFonts w:cstheme="minorHAnsi"/>
                <w:spacing w:val="-2"/>
              </w:rPr>
              <w:t xml:space="preserve"> </w:t>
            </w:r>
            <w:r w:rsidRPr="003D086C">
              <w:rPr>
                <w:rFonts w:cstheme="minorHAnsi"/>
              </w:rPr>
              <w:t>on</w:t>
            </w:r>
            <w:r w:rsidRPr="003D086C">
              <w:rPr>
                <w:rFonts w:cstheme="minorHAnsi"/>
                <w:spacing w:val="-2"/>
              </w:rPr>
              <w:t xml:space="preserve"> </w:t>
            </w:r>
            <w:r w:rsidRPr="003D086C">
              <w:rPr>
                <w:rFonts w:cstheme="minorHAnsi"/>
                <w:spacing w:val="-4"/>
              </w:rPr>
              <w:t>which</w:t>
            </w:r>
            <w:r w:rsidRPr="003D086C">
              <w:rPr>
                <w:rFonts w:cstheme="minorHAnsi"/>
                <w:spacing w:val="-2"/>
              </w:rPr>
              <w:t xml:space="preserve"> </w:t>
            </w:r>
            <w:r w:rsidRPr="003D086C">
              <w:rPr>
                <w:rFonts w:cstheme="minorHAnsi"/>
              </w:rPr>
              <w:t>the</w:t>
            </w:r>
            <w:r w:rsidRPr="003D086C">
              <w:rPr>
                <w:rFonts w:cstheme="minorHAnsi"/>
                <w:spacing w:val="-2"/>
              </w:rPr>
              <w:t xml:space="preserve"> </w:t>
            </w:r>
            <w:r w:rsidRPr="003D086C">
              <w:rPr>
                <w:rFonts w:cstheme="minorHAnsi"/>
              </w:rPr>
              <w:t>State</w:t>
            </w:r>
            <w:r w:rsidRPr="003D086C">
              <w:rPr>
                <w:rFonts w:cstheme="minorHAnsi"/>
                <w:spacing w:val="-4"/>
              </w:rPr>
              <w:t xml:space="preserve"> </w:t>
            </w:r>
            <w:r w:rsidRPr="003D086C">
              <w:rPr>
                <w:rFonts w:cstheme="minorHAnsi"/>
                <w:spacing w:val="-3"/>
              </w:rPr>
              <w:t xml:space="preserve">or </w:t>
            </w:r>
            <w:r w:rsidRPr="003D086C">
              <w:rPr>
                <w:rFonts w:cstheme="minorHAnsi"/>
              </w:rPr>
              <w:t xml:space="preserve">LEA makes a </w:t>
            </w:r>
            <w:r w:rsidRPr="003D086C">
              <w:rPr>
                <w:rFonts w:cstheme="minorHAnsi"/>
                <w:spacing w:val="-3"/>
              </w:rPr>
              <w:t>binding</w:t>
            </w:r>
            <w:r w:rsidRPr="003D086C">
              <w:rPr>
                <w:rFonts w:cstheme="minorHAnsi"/>
                <w:spacing w:val="-23"/>
              </w:rPr>
              <w:t xml:space="preserve"> </w:t>
            </w:r>
            <w:r w:rsidRPr="003D086C">
              <w:rPr>
                <w:rFonts w:cstheme="minorHAnsi"/>
              </w:rPr>
              <w:t>written commitment to obtain the</w:t>
            </w:r>
            <w:r w:rsidRPr="003D086C">
              <w:rPr>
                <w:rFonts w:cstheme="minorHAnsi"/>
                <w:spacing w:val="-25"/>
              </w:rPr>
              <w:t xml:space="preserve"> </w:t>
            </w:r>
            <w:r w:rsidR="00EE1C7F">
              <w:rPr>
                <w:rFonts w:cstheme="minorHAnsi"/>
                <w:spacing w:val="-3"/>
              </w:rPr>
              <w:t>work</w:t>
            </w:r>
          </w:p>
        </w:tc>
      </w:tr>
      <w:tr w:rsidR="006B3C87" w:rsidRPr="003D086C" w14:paraId="4DAEECE6" w14:textId="77777777" w:rsidTr="00876BBD">
        <w:trPr>
          <w:trHeight w:val="144"/>
        </w:trPr>
        <w:tc>
          <w:tcPr>
            <w:tcW w:w="4896" w:type="dxa"/>
            <w:tcBorders>
              <w:top w:val="single" w:sz="5" w:space="0" w:color="000000"/>
              <w:left w:val="single" w:sz="5" w:space="0" w:color="000000"/>
              <w:bottom w:val="single" w:sz="5" w:space="0" w:color="000000"/>
              <w:right w:val="single" w:sz="5" w:space="0" w:color="000000"/>
            </w:tcBorders>
            <w:vAlign w:val="center"/>
          </w:tcPr>
          <w:p w14:paraId="209CA227" w14:textId="77777777" w:rsidR="006B3C87" w:rsidRPr="003D086C" w:rsidRDefault="006B3C87" w:rsidP="00876BBD">
            <w:pPr>
              <w:widowControl w:val="0"/>
              <w:spacing w:after="0" w:line="240" w:lineRule="auto"/>
              <w:rPr>
                <w:rFonts w:eastAsia="Arial" w:cstheme="minorHAnsi"/>
              </w:rPr>
            </w:pPr>
            <w:r w:rsidRPr="003D086C">
              <w:rPr>
                <w:rFonts w:cstheme="minorHAnsi"/>
                <w:spacing w:val="-3"/>
              </w:rPr>
              <w:t xml:space="preserve">  Public </w:t>
            </w:r>
            <w:r w:rsidRPr="003D086C">
              <w:rPr>
                <w:rFonts w:cstheme="minorHAnsi"/>
              </w:rPr>
              <w:t>utility</w:t>
            </w:r>
            <w:r w:rsidRPr="003D086C">
              <w:rPr>
                <w:rFonts w:cstheme="minorHAnsi"/>
                <w:spacing w:val="-13"/>
              </w:rPr>
              <w:t xml:space="preserve"> </w:t>
            </w:r>
            <w:r w:rsidRPr="003D086C">
              <w:rPr>
                <w:rFonts w:cstheme="minorHAnsi"/>
              </w:rPr>
              <w:t>services</w:t>
            </w:r>
          </w:p>
        </w:tc>
        <w:tc>
          <w:tcPr>
            <w:tcW w:w="4801" w:type="dxa"/>
            <w:tcBorders>
              <w:top w:val="single" w:sz="5" w:space="0" w:color="000000"/>
              <w:left w:val="single" w:sz="5" w:space="0" w:color="000000"/>
              <w:bottom w:val="single" w:sz="5" w:space="0" w:color="000000"/>
              <w:right w:val="single" w:sz="5" w:space="0" w:color="000000"/>
            </w:tcBorders>
            <w:vAlign w:val="center"/>
          </w:tcPr>
          <w:p w14:paraId="340562E0" w14:textId="77777777" w:rsidR="006B3C87" w:rsidRPr="003D086C" w:rsidRDefault="006B3C87" w:rsidP="009A4F1E">
            <w:pPr>
              <w:widowControl w:val="0"/>
              <w:spacing w:after="0" w:line="240" w:lineRule="auto"/>
              <w:ind w:left="132"/>
              <w:rPr>
                <w:rFonts w:eastAsia="Arial" w:cstheme="minorHAnsi"/>
              </w:rPr>
            </w:pPr>
            <w:r w:rsidRPr="003D086C">
              <w:rPr>
                <w:rFonts w:cstheme="minorHAnsi"/>
              </w:rPr>
              <w:t>When</w:t>
            </w:r>
            <w:r w:rsidR="007011B2">
              <w:rPr>
                <w:rFonts w:cstheme="minorHAnsi"/>
              </w:rPr>
              <w:t xml:space="preserve"> </w:t>
            </w:r>
            <w:r w:rsidRPr="003D086C">
              <w:rPr>
                <w:rFonts w:cstheme="minorHAnsi"/>
              </w:rPr>
              <w:t>the</w:t>
            </w:r>
            <w:r w:rsidRPr="003D086C">
              <w:rPr>
                <w:rFonts w:cstheme="minorHAnsi"/>
                <w:spacing w:val="-7"/>
              </w:rPr>
              <w:t xml:space="preserve"> </w:t>
            </w:r>
            <w:r w:rsidR="00EE1C7F">
              <w:rPr>
                <w:rFonts w:cstheme="minorHAnsi"/>
              </w:rPr>
              <w:t>S</w:t>
            </w:r>
            <w:r w:rsidRPr="003D086C">
              <w:rPr>
                <w:rFonts w:cstheme="minorHAnsi"/>
              </w:rPr>
              <w:t>tate</w:t>
            </w:r>
            <w:r w:rsidRPr="003D086C">
              <w:rPr>
                <w:rFonts w:cstheme="minorHAnsi"/>
                <w:spacing w:val="-11"/>
              </w:rPr>
              <w:t xml:space="preserve"> </w:t>
            </w:r>
            <w:r w:rsidRPr="003D086C">
              <w:rPr>
                <w:rFonts w:cstheme="minorHAnsi"/>
              </w:rPr>
              <w:t>or</w:t>
            </w:r>
            <w:r w:rsidRPr="003D086C">
              <w:rPr>
                <w:rFonts w:cstheme="minorHAnsi"/>
                <w:spacing w:val="-8"/>
              </w:rPr>
              <w:t xml:space="preserve"> </w:t>
            </w:r>
            <w:r w:rsidRPr="003D086C">
              <w:rPr>
                <w:rFonts w:cstheme="minorHAnsi"/>
              </w:rPr>
              <w:t>LEA</w:t>
            </w:r>
            <w:r w:rsidRPr="003D086C">
              <w:rPr>
                <w:rFonts w:cstheme="minorHAnsi"/>
                <w:spacing w:val="-11"/>
              </w:rPr>
              <w:t xml:space="preserve"> </w:t>
            </w:r>
            <w:r w:rsidRPr="003D086C">
              <w:rPr>
                <w:rFonts w:cstheme="minorHAnsi"/>
              </w:rPr>
              <w:t xml:space="preserve">receives </w:t>
            </w:r>
            <w:r w:rsidR="009A4F1E">
              <w:rPr>
                <w:rFonts w:cstheme="minorHAnsi"/>
              </w:rPr>
              <w:t xml:space="preserve">the </w:t>
            </w:r>
            <w:r w:rsidR="00EE1C7F">
              <w:rPr>
                <w:rFonts w:cstheme="minorHAnsi"/>
                <w:spacing w:val="-3"/>
              </w:rPr>
              <w:t>services</w:t>
            </w:r>
          </w:p>
        </w:tc>
      </w:tr>
      <w:tr w:rsidR="006B3C87" w:rsidRPr="003D086C" w14:paraId="4FA7E1AB" w14:textId="77777777" w:rsidTr="00876BBD">
        <w:trPr>
          <w:trHeight w:val="144"/>
        </w:trPr>
        <w:tc>
          <w:tcPr>
            <w:tcW w:w="4896" w:type="dxa"/>
            <w:tcBorders>
              <w:top w:val="single" w:sz="5" w:space="0" w:color="000000"/>
              <w:left w:val="single" w:sz="5" w:space="0" w:color="000000"/>
              <w:bottom w:val="single" w:sz="5" w:space="0" w:color="000000"/>
              <w:right w:val="single" w:sz="5" w:space="0" w:color="000000"/>
            </w:tcBorders>
            <w:vAlign w:val="center"/>
          </w:tcPr>
          <w:p w14:paraId="1CD5C0EB" w14:textId="77777777" w:rsidR="006B3C87" w:rsidRPr="003D086C" w:rsidRDefault="006B3C87" w:rsidP="00876BBD">
            <w:pPr>
              <w:widowControl w:val="0"/>
              <w:spacing w:after="0" w:line="240" w:lineRule="auto"/>
              <w:ind w:left="79"/>
              <w:rPr>
                <w:rFonts w:cstheme="minorHAnsi"/>
              </w:rPr>
            </w:pPr>
            <w:r w:rsidRPr="003D086C">
              <w:rPr>
                <w:rFonts w:cstheme="minorHAnsi"/>
              </w:rPr>
              <w:t xml:space="preserve">A pre-agreement cost that </w:t>
            </w:r>
            <w:r w:rsidRPr="003D086C">
              <w:rPr>
                <w:rFonts w:cstheme="minorHAnsi"/>
                <w:spacing w:val="-3"/>
              </w:rPr>
              <w:t>was</w:t>
            </w:r>
            <w:r w:rsidRPr="003D086C">
              <w:rPr>
                <w:rFonts w:cstheme="minorHAnsi"/>
                <w:spacing w:val="-24"/>
              </w:rPr>
              <w:t xml:space="preserve"> </w:t>
            </w:r>
            <w:r w:rsidRPr="003D086C">
              <w:rPr>
                <w:rFonts w:cstheme="minorHAnsi"/>
              </w:rPr>
              <w:t xml:space="preserve">properly approved by the State </w:t>
            </w:r>
            <w:r w:rsidRPr="003D086C">
              <w:rPr>
                <w:rFonts w:cstheme="minorHAnsi"/>
                <w:spacing w:val="-3"/>
              </w:rPr>
              <w:t xml:space="preserve">under </w:t>
            </w:r>
            <w:r w:rsidRPr="003D086C">
              <w:rPr>
                <w:rFonts w:cstheme="minorHAnsi"/>
              </w:rPr>
              <w:t>the</w:t>
            </w:r>
            <w:r w:rsidRPr="003D086C">
              <w:rPr>
                <w:rFonts w:cstheme="minorHAnsi"/>
                <w:spacing w:val="-20"/>
              </w:rPr>
              <w:t xml:space="preserve"> </w:t>
            </w:r>
            <w:r w:rsidRPr="003D086C">
              <w:rPr>
                <w:rFonts w:cstheme="minorHAnsi"/>
              </w:rPr>
              <w:t xml:space="preserve">cost </w:t>
            </w:r>
            <w:r w:rsidRPr="003D086C">
              <w:rPr>
                <w:rFonts w:cstheme="minorHAnsi"/>
                <w:spacing w:val="-3"/>
              </w:rPr>
              <w:t>principles</w:t>
            </w:r>
          </w:p>
        </w:tc>
        <w:tc>
          <w:tcPr>
            <w:tcW w:w="4801" w:type="dxa"/>
            <w:tcBorders>
              <w:top w:val="single" w:sz="5" w:space="0" w:color="000000"/>
              <w:left w:val="single" w:sz="5" w:space="0" w:color="000000"/>
              <w:bottom w:val="single" w:sz="5" w:space="0" w:color="000000"/>
              <w:right w:val="single" w:sz="5" w:space="0" w:color="000000"/>
            </w:tcBorders>
            <w:vAlign w:val="center"/>
          </w:tcPr>
          <w:p w14:paraId="4F56CA9E" w14:textId="77777777" w:rsidR="006B3C87" w:rsidRPr="003D086C" w:rsidRDefault="006B3C87" w:rsidP="00876BBD">
            <w:pPr>
              <w:widowControl w:val="0"/>
              <w:spacing w:after="0" w:line="240" w:lineRule="auto"/>
              <w:rPr>
                <w:rFonts w:cstheme="minorHAnsi"/>
              </w:rPr>
            </w:pPr>
            <w:r w:rsidRPr="003D086C">
              <w:rPr>
                <w:rFonts w:cstheme="minorHAnsi"/>
              </w:rPr>
              <w:t xml:space="preserve">  On the </w:t>
            </w:r>
            <w:r w:rsidR="00EE1C7F">
              <w:rPr>
                <w:rFonts w:cstheme="minorHAnsi"/>
              </w:rPr>
              <w:t>first day of the project period</w:t>
            </w:r>
          </w:p>
        </w:tc>
      </w:tr>
    </w:tbl>
    <w:p w14:paraId="768947E4" w14:textId="77777777" w:rsidR="006B3C87" w:rsidRPr="003D086C" w:rsidRDefault="006B3C87" w:rsidP="006B3C87">
      <w:pPr>
        <w:spacing w:after="0" w:line="240" w:lineRule="auto"/>
        <w:rPr>
          <w:rFonts w:cstheme="minorHAnsi"/>
          <w:spacing w:val="-3"/>
        </w:rPr>
      </w:pPr>
    </w:p>
    <w:p w14:paraId="6A9049A6" w14:textId="77777777" w:rsidR="00506AB0" w:rsidRDefault="00506AB0" w:rsidP="00506AB0">
      <w:pPr>
        <w:spacing w:after="0" w:line="240" w:lineRule="auto"/>
        <w:jc w:val="both"/>
        <w:rPr>
          <w:rFonts w:cstheme="minorHAnsi"/>
          <w:spacing w:val="-3"/>
        </w:rPr>
      </w:pPr>
      <w:r w:rsidRPr="003D086C">
        <w:rPr>
          <w:rFonts w:cstheme="minorHAnsi"/>
          <w:spacing w:val="-3"/>
        </w:rPr>
        <w:t>LEAs may obligate funds budgeted in a submitted application, initial or revision, with a substantial approval date</w:t>
      </w:r>
      <w:r w:rsidRPr="00DC4559">
        <w:rPr>
          <w:rFonts w:cstheme="minorHAnsi"/>
          <w:spacing w:val="-3"/>
        </w:rPr>
        <w:t>.  Obligations not approved by DESE or OA from the application or budget must be paid with local funds.</w:t>
      </w:r>
    </w:p>
    <w:p w14:paraId="3C665CF7" w14:textId="77777777" w:rsidR="00506AB0" w:rsidRPr="004D5254" w:rsidRDefault="00506AB0" w:rsidP="00506AB0">
      <w:r>
        <w:t>S</w:t>
      </w:r>
      <w:r w:rsidRPr="004D5254">
        <w:t>tatute requires that matching funds come from local sources. This excludes state and federal funds, including federal relief funding such as ESSER.</w:t>
      </w:r>
    </w:p>
    <w:p w14:paraId="17EC4C3C" w14:textId="77777777" w:rsidR="006B3C87" w:rsidRPr="003D086C" w:rsidRDefault="00D45E1A" w:rsidP="006B3C87">
      <w:pPr>
        <w:pStyle w:val="Heading2"/>
      </w:pPr>
      <w:bookmarkStart w:id="16" w:name="_Toc80957419"/>
      <w:r>
        <w:t>CASH MANAGEMENT IMPROVEMENT ACT</w:t>
      </w:r>
      <w:r w:rsidR="00A42D31">
        <w:t xml:space="preserve"> (CMIA)</w:t>
      </w:r>
      <w:bookmarkEnd w:id="16"/>
    </w:p>
    <w:p w14:paraId="5F3548ED" w14:textId="77777777" w:rsidR="006B3C87" w:rsidRPr="003D086C" w:rsidRDefault="006B3C87" w:rsidP="006B3C87">
      <w:pPr>
        <w:spacing w:after="0" w:line="240" w:lineRule="auto"/>
        <w:rPr>
          <w:rFonts w:ascii="Calibri" w:eastAsia="Times New Roman" w:hAnsi="Calibri" w:cs="Calibri"/>
          <w:i/>
          <w:color w:val="000000" w:themeColor="text1"/>
        </w:rPr>
      </w:pPr>
      <w:r w:rsidRPr="003D086C">
        <w:t>The federal government passed the CMIA to prevent interest earnings on federal funds. Section 31 CFR Part 205 “Rules and Procedures for Efficient Federal-State Funds Transfers” states that methods and procedures for payment must minimize the time elapsing between the transfer of funds from the United States Treasury to the State and ultimately to the pass-through entity. Therefore, DESE must ensure payments to the pass-through entity are for reimbursements only. DESE must monitor payments to assure they conform to the federal regulations.</w:t>
      </w:r>
      <w:r w:rsidRPr="003D086C">
        <w:rPr>
          <w:rFonts w:ascii="Calibri" w:eastAsia="Times New Roman" w:hAnsi="Calibri" w:cs="Calibri"/>
          <w:i/>
          <w:color w:val="000000" w:themeColor="text1"/>
        </w:rPr>
        <w:t xml:space="preserve"> </w:t>
      </w:r>
    </w:p>
    <w:p w14:paraId="1A3B8F9B" w14:textId="77777777" w:rsidR="006B3C87" w:rsidRPr="003D086C" w:rsidRDefault="006B3C87" w:rsidP="006B3C87">
      <w:pPr>
        <w:spacing w:after="0"/>
      </w:pPr>
    </w:p>
    <w:p w14:paraId="7A00E92C" w14:textId="77777777" w:rsidR="00BB0496" w:rsidRPr="003D086C" w:rsidRDefault="006B3C87" w:rsidP="006B3C87">
      <w:pPr>
        <w:spacing w:after="0"/>
        <w:rPr>
          <w:b/>
          <w:bCs/>
        </w:rPr>
      </w:pPr>
      <w:r w:rsidRPr="003D086C">
        <w:lastRenderedPageBreak/>
        <w:t>More information on the Cash Management Improvement Act</w:t>
      </w:r>
      <w:r w:rsidR="001F4DFA">
        <w:t xml:space="preserve"> </w:t>
      </w:r>
      <w:r w:rsidR="001F4DFA" w:rsidRPr="00DF0A82">
        <w:rPr>
          <w:rStyle w:val="Hyperlink"/>
        </w:rPr>
        <w:t xml:space="preserve">click </w:t>
      </w:r>
      <w:hyperlink r:id="rId13" w:history="1">
        <w:r w:rsidR="001F4DFA" w:rsidRPr="00DF0A82">
          <w:rPr>
            <w:rStyle w:val="Hyperlink"/>
          </w:rPr>
          <w:t>here</w:t>
        </w:r>
      </w:hyperlink>
      <w:r w:rsidR="00427844" w:rsidRPr="00427844">
        <w:rPr>
          <w:color w:val="00B050"/>
        </w:rPr>
        <w:t xml:space="preserve">. </w:t>
      </w:r>
      <w:r w:rsidRPr="00427844">
        <w:rPr>
          <w:color w:val="00B050"/>
        </w:rPr>
        <w:t xml:space="preserve"> </w:t>
      </w:r>
    </w:p>
    <w:p w14:paraId="0A00AE7B" w14:textId="77777777" w:rsidR="00E363D4" w:rsidRDefault="00E363D4" w:rsidP="00BB0496">
      <w:pPr>
        <w:pStyle w:val="Heading2"/>
      </w:pPr>
      <w:bookmarkStart w:id="17" w:name="_Toc80957420"/>
    </w:p>
    <w:p w14:paraId="0FFE4236" w14:textId="29179D77" w:rsidR="006B3C87" w:rsidRPr="003B534A" w:rsidRDefault="00DB1E00" w:rsidP="00BB0496">
      <w:pPr>
        <w:pStyle w:val="Heading2"/>
      </w:pPr>
      <w:r w:rsidRPr="003B534A">
        <w:t>FINANCE CODING</w:t>
      </w:r>
      <w:bookmarkEnd w:id="17"/>
    </w:p>
    <w:p w14:paraId="283EC399" w14:textId="74FC8D60" w:rsidR="003B534A" w:rsidRPr="009C46B8" w:rsidRDefault="006B3C87" w:rsidP="006B3C87">
      <w:pPr>
        <w:rPr>
          <w:rFonts w:cstheme="minorHAnsi"/>
        </w:rPr>
      </w:pPr>
      <w:r w:rsidRPr="006D19E6">
        <w:rPr>
          <w:rFonts w:cstheme="minorHAnsi"/>
        </w:rPr>
        <w:t xml:space="preserve">DESE </w:t>
      </w:r>
      <w:r w:rsidRPr="003B534A">
        <w:rPr>
          <w:rFonts w:cstheme="minorHAnsi"/>
        </w:rPr>
        <w:t xml:space="preserve">will pay </w:t>
      </w:r>
      <w:r w:rsidR="00182F71">
        <w:rPr>
          <w:rFonts w:cstheme="minorHAnsi"/>
        </w:rPr>
        <w:t>ARPA</w:t>
      </w:r>
      <w:r w:rsidRPr="003B534A">
        <w:rPr>
          <w:rFonts w:cstheme="minorHAnsi"/>
        </w:rPr>
        <w:t xml:space="preserve"> revenue under Revenue Code </w:t>
      </w:r>
      <w:r w:rsidR="006D19E6">
        <w:rPr>
          <w:rFonts w:cstheme="minorHAnsi"/>
        </w:rPr>
        <w:t>5497</w:t>
      </w:r>
      <w:r w:rsidRPr="009C46B8">
        <w:rPr>
          <w:rFonts w:cstheme="minorHAnsi"/>
        </w:rPr>
        <w:t xml:space="preserve">. These funds can be placed in the General (Incidental), Special Revenue (Teachers), or Capital Projects Fund. LEAs must code all expenditures associated with these funds with </w:t>
      </w:r>
      <w:r w:rsidR="003B534A" w:rsidRPr="009C46B8">
        <w:rPr>
          <w:rFonts w:cstheme="minorHAnsi"/>
        </w:rPr>
        <w:t>the following Project Codes.</w:t>
      </w:r>
      <w:r w:rsidR="00CA6E08" w:rsidRPr="009C46B8">
        <w:rPr>
          <w:rFonts w:cstheme="minorHAnsi"/>
        </w:rPr>
        <w:t xml:space="preserve"> </w:t>
      </w:r>
    </w:p>
    <w:tbl>
      <w:tblPr>
        <w:tblStyle w:val="TableGrid"/>
        <w:tblW w:w="0" w:type="auto"/>
        <w:tblLook w:val="04A0" w:firstRow="1" w:lastRow="0" w:firstColumn="1" w:lastColumn="0" w:noHBand="0" w:noVBand="1"/>
      </w:tblPr>
      <w:tblGrid>
        <w:gridCol w:w="3116"/>
        <w:gridCol w:w="1739"/>
        <w:gridCol w:w="4495"/>
      </w:tblGrid>
      <w:tr w:rsidR="009C46B8" w:rsidRPr="009C46B8" w14:paraId="4EBCA730" w14:textId="77777777" w:rsidTr="00143141">
        <w:tc>
          <w:tcPr>
            <w:tcW w:w="3116" w:type="dxa"/>
          </w:tcPr>
          <w:p w14:paraId="54F79416" w14:textId="034C0019" w:rsidR="00143141" w:rsidRPr="009C46B8" w:rsidRDefault="00143141" w:rsidP="006B3C87">
            <w:pPr>
              <w:rPr>
                <w:rFonts w:cstheme="minorHAnsi"/>
              </w:rPr>
            </w:pPr>
            <w:r w:rsidRPr="009C46B8">
              <w:rPr>
                <w:rFonts w:cstheme="minorHAnsi"/>
              </w:rPr>
              <w:t>Code</w:t>
            </w:r>
          </w:p>
        </w:tc>
        <w:tc>
          <w:tcPr>
            <w:tcW w:w="1739" w:type="dxa"/>
          </w:tcPr>
          <w:p w14:paraId="38F90482" w14:textId="73B6B2DF" w:rsidR="00143141" w:rsidRPr="009C46B8" w:rsidRDefault="00143141" w:rsidP="006B3C87">
            <w:pPr>
              <w:rPr>
                <w:rFonts w:cstheme="minorHAnsi"/>
              </w:rPr>
            </w:pPr>
            <w:r w:rsidRPr="009C46B8">
              <w:rPr>
                <w:rFonts w:cstheme="minorHAnsi"/>
              </w:rPr>
              <w:t>Source Code</w:t>
            </w:r>
          </w:p>
        </w:tc>
        <w:tc>
          <w:tcPr>
            <w:tcW w:w="4495" w:type="dxa"/>
          </w:tcPr>
          <w:p w14:paraId="442EB403" w14:textId="19A01143" w:rsidR="00143141" w:rsidRPr="009C46B8" w:rsidRDefault="00143141" w:rsidP="006B3C87">
            <w:pPr>
              <w:rPr>
                <w:rFonts w:cstheme="minorHAnsi"/>
              </w:rPr>
            </w:pPr>
            <w:r w:rsidRPr="009C46B8">
              <w:rPr>
                <w:rFonts w:cstheme="minorHAnsi"/>
              </w:rPr>
              <w:t>Grant</w:t>
            </w:r>
          </w:p>
        </w:tc>
      </w:tr>
      <w:tr w:rsidR="009C46B8" w:rsidRPr="009C46B8" w14:paraId="5AA32508" w14:textId="77777777" w:rsidTr="00143141">
        <w:tc>
          <w:tcPr>
            <w:tcW w:w="3116" w:type="dxa"/>
          </w:tcPr>
          <w:p w14:paraId="3666BCF2" w14:textId="71A5FF4E" w:rsidR="00143141" w:rsidRPr="009C46B8" w:rsidRDefault="00143141" w:rsidP="006D19E6">
            <w:pPr>
              <w:rPr>
                <w:rFonts w:cstheme="minorHAnsi"/>
              </w:rPr>
            </w:pPr>
            <w:r w:rsidRPr="009C46B8">
              <w:rPr>
                <w:rFonts w:cstheme="minorHAnsi"/>
              </w:rPr>
              <w:t>Revenue – 54</w:t>
            </w:r>
            <w:r w:rsidR="006D19E6">
              <w:rPr>
                <w:rFonts w:cstheme="minorHAnsi"/>
              </w:rPr>
              <w:t>97</w:t>
            </w:r>
          </w:p>
        </w:tc>
        <w:tc>
          <w:tcPr>
            <w:tcW w:w="1739" w:type="dxa"/>
          </w:tcPr>
          <w:p w14:paraId="1E6B67F5" w14:textId="62B448AC" w:rsidR="00143141" w:rsidRPr="009C46B8" w:rsidRDefault="00143141" w:rsidP="006B3C87">
            <w:pPr>
              <w:rPr>
                <w:rFonts w:cstheme="minorHAnsi"/>
              </w:rPr>
            </w:pPr>
            <w:r w:rsidRPr="009C46B8">
              <w:rPr>
                <w:rFonts w:cstheme="minorHAnsi"/>
              </w:rPr>
              <w:t>N/A</w:t>
            </w:r>
          </w:p>
        </w:tc>
        <w:tc>
          <w:tcPr>
            <w:tcW w:w="4495" w:type="dxa"/>
          </w:tcPr>
          <w:p w14:paraId="197FE5E4" w14:textId="63AACE35" w:rsidR="00143141" w:rsidRPr="009C46B8" w:rsidRDefault="00143141" w:rsidP="006B3C87">
            <w:pPr>
              <w:rPr>
                <w:rFonts w:cstheme="minorHAnsi"/>
              </w:rPr>
            </w:pPr>
            <w:r w:rsidRPr="009C46B8">
              <w:rPr>
                <w:rFonts w:cstheme="minorHAnsi"/>
              </w:rPr>
              <w:t>ARP – Mo Career Opportunity</w:t>
            </w:r>
          </w:p>
        </w:tc>
      </w:tr>
      <w:tr w:rsidR="009C46B8" w:rsidRPr="009C46B8" w14:paraId="1D902864" w14:textId="77777777" w:rsidTr="00143141">
        <w:tc>
          <w:tcPr>
            <w:tcW w:w="3116" w:type="dxa"/>
          </w:tcPr>
          <w:p w14:paraId="3FD08F81" w14:textId="7D09AD18" w:rsidR="00143141" w:rsidRPr="009C46B8" w:rsidRDefault="00143141" w:rsidP="006B3C87">
            <w:pPr>
              <w:rPr>
                <w:rFonts w:cstheme="minorHAnsi"/>
              </w:rPr>
            </w:pPr>
            <w:r w:rsidRPr="009C46B8">
              <w:rPr>
                <w:rFonts w:cstheme="minorHAnsi"/>
              </w:rPr>
              <w:t>Project Code – 13209</w:t>
            </w:r>
          </w:p>
        </w:tc>
        <w:tc>
          <w:tcPr>
            <w:tcW w:w="1739" w:type="dxa"/>
          </w:tcPr>
          <w:p w14:paraId="3F1E1B69" w14:textId="264E9C75" w:rsidR="00143141" w:rsidRPr="009C46B8" w:rsidRDefault="00143141" w:rsidP="006B3C87">
            <w:pPr>
              <w:rPr>
                <w:rFonts w:cstheme="minorHAnsi"/>
              </w:rPr>
            </w:pPr>
            <w:r w:rsidRPr="009C46B8">
              <w:rPr>
                <w:rFonts w:cstheme="minorHAnsi"/>
              </w:rPr>
              <w:t>1,2</w:t>
            </w:r>
          </w:p>
        </w:tc>
        <w:tc>
          <w:tcPr>
            <w:tcW w:w="4495" w:type="dxa"/>
          </w:tcPr>
          <w:p w14:paraId="010E52EE" w14:textId="601D05C7" w:rsidR="00143141" w:rsidRPr="009C46B8" w:rsidRDefault="006D19E6" w:rsidP="006B3C87">
            <w:pPr>
              <w:rPr>
                <w:rFonts w:cstheme="minorHAnsi"/>
              </w:rPr>
            </w:pPr>
            <w:r>
              <w:rPr>
                <w:rFonts w:cstheme="minorHAnsi"/>
              </w:rPr>
              <w:t>ARP – MO Career O</w:t>
            </w:r>
            <w:r w:rsidR="00143141" w:rsidRPr="009C46B8">
              <w:rPr>
                <w:rFonts w:cstheme="minorHAnsi"/>
              </w:rPr>
              <w:t>pportunity Local Match</w:t>
            </w:r>
          </w:p>
        </w:tc>
      </w:tr>
      <w:tr w:rsidR="009C46B8" w:rsidRPr="009C46B8" w14:paraId="00157401" w14:textId="77777777" w:rsidTr="00143141">
        <w:tc>
          <w:tcPr>
            <w:tcW w:w="3116" w:type="dxa"/>
          </w:tcPr>
          <w:p w14:paraId="3E6A3316" w14:textId="28A65424" w:rsidR="00143141" w:rsidRPr="009C46B8" w:rsidRDefault="00DA1249" w:rsidP="006B3C87">
            <w:pPr>
              <w:rPr>
                <w:rFonts w:cstheme="minorHAnsi"/>
              </w:rPr>
            </w:pPr>
            <w:r>
              <w:rPr>
                <w:rFonts w:cstheme="minorHAnsi"/>
              </w:rPr>
              <w:t>Project Code – 49704</w:t>
            </w:r>
          </w:p>
        </w:tc>
        <w:tc>
          <w:tcPr>
            <w:tcW w:w="1739" w:type="dxa"/>
          </w:tcPr>
          <w:p w14:paraId="0B369F29" w14:textId="2D03DF2C" w:rsidR="00143141" w:rsidRPr="009C46B8" w:rsidRDefault="00143141" w:rsidP="006B3C87">
            <w:pPr>
              <w:rPr>
                <w:rFonts w:cstheme="minorHAnsi"/>
              </w:rPr>
            </w:pPr>
            <w:r w:rsidRPr="009C46B8">
              <w:rPr>
                <w:rFonts w:cstheme="minorHAnsi"/>
              </w:rPr>
              <w:t>4</w:t>
            </w:r>
          </w:p>
        </w:tc>
        <w:tc>
          <w:tcPr>
            <w:tcW w:w="4495" w:type="dxa"/>
          </w:tcPr>
          <w:p w14:paraId="4984A0B1" w14:textId="09A4AEBE" w:rsidR="00143141" w:rsidRPr="009C46B8" w:rsidRDefault="00143141" w:rsidP="006B3C87">
            <w:pPr>
              <w:rPr>
                <w:rFonts w:cstheme="minorHAnsi"/>
              </w:rPr>
            </w:pPr>
            <w:r w:rsidRPr="009C46B8">
              <w:rPr>
                <w:rFonts w:cstheme="minorHAnsi"/>
              </w:rPr>
              <w:t>ARP – Mo Career Opportunity</w:t>
            </w:r>
            <w:r w:rsidR="00034A47" w:rsidRPr="009C46B8">
              <w:rPr>
                <w:rFonts w:cstheme="minorHAnsi"/>
              </w:rPr>
              <w:t xml:space="preserve"> Federal Grant</w:t>
            </w:r>
          </w:p>
        </w:tc>
      </w:tr>
    </w:tbl>
    <w:p w14:paraId="180A023B" w14:textId="77777777" w:rsidR="00143141" w:rsidRPr="00CA6E08" w:rsidRDefault="00143141" w:rsidP="006B3C87">
      <w:pPr>
        <w:rPr>
          <w:rFonts w:cstheme="minorHAnsi"/>
          <w:color w:val="FF0000"/>
        </w:rPr>
      </w:pPr>
    </w:p>
    <w:p w14:paraId="274F0BEA" w14:textId="6C84911C" w:rsidR="006B3C87" w:rsidRDefault="006B3C87" w:rsidP="00253194">
      <w:pPr>
        <w:spacing w:before="240"/>
        <w:rPr>
          <w:rFonts w:ascii="Calibri" w:hAnsi="Calibri" w:cs="Calibri"/>
          <w:color w:val="1F497D"/>
        </w:rPr>
      </w:pPr>
      <w:r w:rsidRPr="003B534A">
        <w:rPr>
          <w:rFonts w:ascii="Calibri" w:hAnsi="Calibri" w:cs="Calibri"/>
        </w:rPr>
        <w:t>Funds received should be directly recorded into the fund for which the</w:t>
      </w:r>
      <w:r w:rsidR="00D45E1A">
        <w:rPr>
          <w:rFonts w:ascii="Calibri" w:hAnsi="Calibri" w:cs="Calibri"/>
        </w:rPr>
        <w:t xml:space="preserve"> qualifying expenditure is paid</w:t>
      </w:r>
      <w:r w:rsidR="00904CFE">
        <w:rPr>
          <w:rFonts w:ascii="Calibri" w:hAnsi="Calibri" w:cs="Calibri"/>
        </w:rPr>
        <w:t xml:space="preserve"> (165.011, RSMo</w:t>
      </w:r>
      <w:r w:rsidRPr="003B534A">
        <w:rPr>
          <w:rFonts w:ascii="Calibri" w:hAnsi="Calibri" w:cs="Calibri"/>
        </w:rPr>
        <w:t>)</w:t>
      </w:r>
      <w:r w:rsidR="00D45E1A">
        <w:rPr>
          <w:rFonts w:ascii="Calibri" w:hAnsi="Calibri" w:cs="Calibri"/>
        </w:rPr>
        <w:t>.</w:t>
      </w:r>
    </w:p>
    <w:p w14:paraId="1E88D22C" w14:textId="77777777" w:rsidR="006B3C87" w:rsidRPr="003D086C" w:rsidRDefault="00DB1E00" w:rsidP="00BB0496">
      <w:pPr>
        <w:pStyle w:val="Heading2"/>
      </w:pPr>
      <w:bookmarkStart w:id="18" w:name="_Toc80957421"/>
      <w:r>
        <w:t>DOCUMENTATION OF EXPENDITURES</w:t>
      </w:r>
      <w:bookmarkEnd w:id="18"/>
    </w:p>
    <w:p w14:paraId="01F3A460" w14:textId="77777777" w:rsidR="006B3C87" w:rsidRPr="003D086C" w:rsidRDefault="006B3C87" w:rsidP="006B3C87">
      <w:pPr>
        <w:autoSpaceDE w:val="0"/>
        <w:autoSpaceDN w:val="0"/>
        <w:adjustRightInd w:val="0"/>
        <w:spacing w:after="0" w:line="240" w:lineRule="auto"/>
        <w:rPr>
          <w:rFonts w:cstheme="minorHAnsi"/>
        </w:rPr>
      </w:pPr>
      <w:r w:rsidRPr="003D086C">
        <w:rPr>
          <w:rFonts w:cstheme="minorHAnsi"/>
        </w:rPr>
        <w:t xml:space="preserve">LEAs are required to keep documentation of expenditures (receipts, purchase orders, etc.) for monitoring purposes. LEAs must track </w:t>
      </w:r>
      <w:r w:rsidR="00182F71">
        <w:rPr>
          <w:rFonts w:cstheme="minorHAnsi"/>
        </w:rPr>
        <w:t xml:space="preserve">ARPA </w:t>
      </w:r>
      <w:r w:rsidRPr="003D086C">
        <w:rPr>
          <w:rFonts w:cstheme="minorHAnsi"/>
        </w:rPr>
        <w:t xml:space="preserve">funds separately from </w:t>
      </w:r>
      <w:r w:rsidR="00942FC9">
        <w:rPr>
          <w:rFonts w:cstheme="minorHAnsi"/>
        </w:rPr>
        <w:t>any other</w:t>
      </w:r>
      <w:r w:rsidRPr="003D086C">
        <w:rPr>
          <w:rFonts w:cstheme="minorHAnsi"/>
        </w:rPr>
        <w:t xml:space="preserve"> funds.</w:t>
      </w:r>
    </w:p>
    <w:p w14:paraId="7AF5A7CD" w14:textId="77777777" w:rsidR="006B3C87" w:rsidRPr="003D086C" w:rsidRDefault="006B3C87" w:rsidP="006B3C87">
      <w:pPr>
        <w:spacing w:after="0" w:line="240" w:lineRule="auto"/>
      </w:pPr>
    </w:p>
    <w:p w14:paraId="3D3354C4" w14:textId="77777777" w:rsidR="006B3C87" w:rsidRPr="003D086C" w:rsidRDefault="00DB1E00" w:rsidP="00BB0496">
      <w:pPr>
        <w:pStyle w:val="Heading2"/>
      </w:pPr>
      <w:bookmarkStart w:id="19" w:name="_Toc80957422"/>
      <w:r>
        <w:t>LEA REPORTING REQUIREMENTS</w:t>
      </w:r>
      <w:bookmarkEnd w:id="19"/>
    </w:p>
    <w:p w14:paraId="3872CA85" w14:textId="1ABDBA1F" w:rsidR="007C7D65" w:rsidRDefault="007C7D65" w:rsidP="006B3C87">
      <w:pPr>
        <w:autoSpaceDE w:val="0"/>
        <w:autoSpaceDN w:val="0"/>
        <w:adjustRightInd w:val="0"/>
        <w:spacing w:after="0" w:line="240" w:lineRule="auto"/>
        <w:rPr>
          <w:rFonts w:cstheme="minorHAnsi"/>
        </w:rPr>
      </w:pPr>
      <w:r>
        <w:rPr>
          <w:rFonts w:cstheme="minorHAnsi"/>
        </w:rPr>
        <w:t xml:space="preserve">Copies of invoices that will be submitted for reimbursement must be emailed to Roger Barnes, DESE CTE Coordinator at </w:t>
      </w:r>
      <w:hyperlink r:id="rId14" w:history="1">
        <w:r w:rsidRPr="00F42B0A">
          <w:rPr>
            <w:rStyle w:val="Hyperlink"/>
            <w:rFonts w:cstheme="minorHAnsi"/>
          </w:rPr>
          <w:t>roger.barnes@dese.mo.gov</w:t>
        </w:r>
      </w:hyperlink>
      <w:r>
        <w:rPr>
          <w:rFonts w:cstheme="minorHAnsi"/>
        </w:rPr>
        <w:t xml:space="preserve">.  </w:t>
      </w:r>
      <w:r w:rsidR="00BA191F">
        <w:rPr>
          <w:rFonts w:cstheme="minorHAnsi"/>
        </w:rPr>
        <w:t xml:space="preserve">Invoices should show the total amount being billed to the school district.  </w:t>
      </w:r>
      <w:r>
        <w:rPr>
          <w:rFonts w:cstheme="minorHAnsi"/>
        </w:rPr>
        <w:t>LEAs will be reimbursed at a rate 75% of approved invoice amounts</w:t>
      </w:r>
      <w:r w:rsidR="00BA191F">
        <w:rPr>
          <w:rFonts w:cstheme="minorHAnsi"/>
        </w:rPr>
        <w:t>.</w:t>
      </w:r>
    </w:p>
    <w:p w14:paraId="7B99F1ED" w14:textId="76FD3E30" w:rsidR="005802F6" w:rsidRDefault="005802F6" w:rsidP="006B3C87">
      <w:pPr>
        <w:autoSpaceDE w:val="0"/>
        <w:autoSpaceDN w:val="0"/>
        <w:adjustRightInd w:val="0"/>
        <w:spacing w:after="0" w:line="240" w:lineRule="auto"/>
        <w:rPr>
          <w:rFonts w:cstheme="minorHAnsi"/>
        </w:rPr>
      </w:pPr>
    </w:p>
    <w:p w14:paraId="54DF53B4" w14:textId="63ACF270" w:rsidR="005802F6" w:rsidRPr="005802F6" w:rsidRDefault="005802F6" w:rsidP="005802F6">
      <w:pPr>
        <w:keepNext/>
        <w:keepLines/>
        <w:spacing w:before="40" w:after="0"/>
        <w:outlineLvl w:val="1"/>
        <w:rPr>
          <w:rFonts w:ascii="Calibri" w:eastAsiaTheme="majorEastAsia" w:hAnsi="Calibri" w:cs="Calibri"/>
        </w:rPr>
      </w:pPr>
      <w:r>
        <w:rPr>
          <w:rFonts w:ascii="Calibri" w:eastAsiaTheme="majorEastAsia" w:hAnsi="Calibri" w:cs="Calibri"/>
        </w:rPr>
        <w:t xml:space="preserve">A program summary will be required to be sent to Roger Barnes, CTE Coordinator, </w:t>
      </w:r>
      <w:hyperlink r:id="rId15" w:history="1">
        <w:r w:rsidRPr="00BE308D">
          <w:rPr>
            <w:rStyle w:val="Hyperlink"/>
            <w:rFonts w:ascii="Calibri" w:eastAsiaTheme="majorEastAsia" w:hAnsi="Calibri" w:cs="Calibri"/>
          </w:rPr>
          <w:t>roger.barnes@dese.mo.gov</w:t>
        </w:r>
      </w:hyperlink>
      <w:r>
        <w:rPr>
          <w:rFonts w:ascii="Calibri" w:eastAsiaTheme="majorEastAsia" w:hAnsi="Calibri" w:cs="Calibri"/>
        </w:rPr>
        <w:t>, at the conclusion of the grant on or before December 30, 2026.</w:t>
      </w:r>
    </w:p>
    <w:p w14:paraId="760F3408" w14:textId="77777777" w:rsidR="007C7D65" w:rsidRDefault="007C7D65" w:rsidP="006B3C87">
      <w:pPr>
        <w:autoSpaceDE w:val="0"/>
        <w:autoSpaceDN w:val="0"/>
        <w:adjustRightInd w:val="0"/>
        <w:spacing w:after="0" w:line="240" w:lineRule="auto"/>
        <w:rPr>
          <w:rFonts w:cstheme="minorHAnsi"/>
        </w:rPr>
      </w:pPr>
    </w:p>
    <w:p w14:paraId="7547C655" w14:textId="57D1B43D" w:rsidR="006B3C87" w:rsidRDefault="006B3C87" w:rsidP="006B3C87">
      <w:pPr>
        <w:autoSpaceDE w:val="0"/>
        <w:autoSpaceDN w:val="0"/>
        <w:adjustRightInd w:val="0"/>
        <w:spacing w:after="0" w:line="240" w:lineRule="auto"/>
        <w:rPr>
          <w:rFonts w:cstheme="minorHAnsi"/>
        </w:rPr>
      </w:pPr>
      <w:r w:rsidRPr="003D086C">
        <w:rPr>
          <w:rFonts w:cstheme="minorHAnsi"/>
        </w:rPr>
        <w:t>Reporting requirements apply to these funds. DESE will require a separate data collection to meet these federal reporting requirements.</w:t>
      </w:r>
    </w:p>
    <w:p w14:paraId="22FC5BDB" w14:textId="273C2B71" w:rsidR="005802F6" w:rsidRDefault="005802F6" w:rsidP="006B3C87">
      <w:pPr>
        <w:autoSpaceDE w:val="0"/>
        <w:autoSpaceDN w:val="0"/>
        <w:adjustRightInd w:val="0"/>
        <w:spacing w:after="0" w:line="240" w:lineRule="auto"/>
        <w:rPr>
          <w:rFonts w:cstheme="minorHAnsi"/>
        </w:rPr>
      </w:pPr>
    </w:p>
    <w:p w14:paraId="0F16AEE7" w14:textId="650D5D10" w:rsidR="00E363D4" w:rsidRPr="00E363D4" w:rsidRDefault="00E363D4" w:rsidP="00E363D4">
      <w:pPr>
        <w:keepNext/>
        <w:keepLines/>
        <w:spacing w:before="40" w:after="0"/>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FINANCIAL MATCH REQUIREMENT</w:t>
      </w:r>
    </w:p>
    <w:p w14:paraId="0E09641B" w14:textId="5E5D7525" w:rsidR="006B3C87" w:rsidRDefault="003914C3" w:rsidP="006B3C87">
      <w:pPr>
        <w:autoSpaceDE w:val="0"/>
        <w:autoSpaceDN w:val="0"/>
        <w:adjustRightInd w:val="0"/>
        <w:spacing w:after="0" w:line="240" w:lineRule="auto"/>
        <w:rPr>
          <w:rFonts w:cstheme="minorHAnsi"/>
          <w:iCs/>
        </w:rPr>
      </w:pPr>
      <w:r>
        <w:rPr>
          <w:rFonts w:cstheme="minorHAnsi"/>
          <w:iCs/>
        </w:rPr>
        <w:t>The MACCO</w:t>
      </w:r>
      <w:r w:rsidR="00064B75" w:rsidRPr="007370DB">
        <w:rPr>
          <w:rFonts w:cstheme="minorHAnsi"/>
          <w:iCs/>
        </w:rPr>
        <w:t xml:space="preserve"> </w:t>
      </w:r>
      <w:r>
        <w:rPr>
          <w:rFonts w:cstheme="minorHAnsi"/>
          <w:iCs/>
        </w:rPr>
        <w:t xml:space="preserve">is considered a 75/25 matching </w:t>
      </w:r>
      <w:r w:rsidR="00064B75" w:rsidRPr="007370DB">
        <w:rPr>
          <w:rFonts w:cstheme="minorHAnsi"/>
          <w:iCs/>
        </w:rPr>
        <w:t>grant</w:t>
      </w:r>
      <w:r>
        <w:rPr>
          <w:rFonts w:cstheme="minorHAnsi"/>
          <w:iCs/>
        </w:rPr>
        <w:t>.  The MACCO grant</w:t>
      </w:r>
      <w:r w:rsidR="00064B75" w:rsidRPr="007370DB">
        <w:rPr>
          <w:rFonts w:cstheme="minorHAnsi"/>
          <w:iCs/>
        </w:rPr>
        <w:t xml:space="preserve"> </w:t>
      </w:r>
      <w:r>
        <w:rPr>
          <w:rFonts w:cstheme="minorHAnsi"/>
          <w:iCs/>
        </w:rPr>
        <w:t xml:space="preserve">requires </w:t>
      </w:r>
      <w:r w:rsidR="00064B75" w:rsidRPr="007370DB">
        <w:rPr>
          <w:rFonts w:cstheme="minorHAnsi"/>
          <w:iCs/>
        </w:rPr>
        <w:t xml:space="preserve">a </w:t>
      </w:r>
      <w:r>
        <w:rPr>
          <w:rFonts w:cstheme="minorHAnsi"/>
          <w:iCs/>
        </w:rPr>
        <w:t xml:space="preserve">federal funds commitment of 75% of the grant award.  The </w:t>
      </w:r>
      <w:r w:rsidR="00064B75" w:rsidRPr="007370DB">
        <w:rPr>
          <w:rFonts w:cstheme="minorHAnsi"/>
          <w:iCs/>
        </w:rPr>
        <w:t>LEA financial match</w:t>
      </w:r>
      <w:r>
        <w:rPr>
          <w:rFonts w:cstheme="minorHAnsi"/>
          <w:iCs/>
        </w:rPr>
        <w:t xml:space="preserve"> requires a 25% commitment of the grant award</w:t>
      </w:r>
      <w:r w:rsidR="00064B75" w:rsidRPr="007370DB">
        <w:rPr>
          <w:rFonts w:cstheme="minorHAnsi"/>
          <w:iCs/>
        </w:rPr>
        <w:t xml:space="preserve">.  </w:t>
      </w:r>
    </w:p>
    <w:p w14:paraId="4263EDA0" w14:textId="3F852749" w:rsidR="00901642" w:rsidRDefault="00901642" w:rsidP="006B3C87">
      <w:pPr>
        <w:autoSpaceDE w:val="0"/>
        <w:autoSpaceDN w:val="0"/>
        <w:adjustRightInd w:val="0"/>
        <w:spacing w:after="0" w:line="240" w:lineRule="auto"/>
        <w:rPr>
          <w:rFonts w:cstheme="minorHAnsi"/>
          <w:iCs/>
        </w:rPr>
      </w:pPr>
    </w:p>
    <w:p w14:paraId="62385CF3" w14:textId="6992C8E4" w:rsidR="00E363D4" w:rsidRDefault="00E363D4" w:rsidP="006B3C87">
      <w:pPr>
        <w:autoSpaceDE w:val="0"/>
        <w:autoSpaceDN w:val="0"/>
        <w:adjustRightInd w:val="0"/>
        <w:spacing w:after="0" w:line="240" w:lineRule="auto"/>
        <w:rPr>
          <w:rFonts w:cstheme="minorHAnsi"/>
          <w:iCs/>
        </w:rPr>
      </w:pPr>
    </w:p>
    <w:p w14:paraId="19521DB4" w14:textId="77777777" w:rsidR="006B3C87" w:rsidRPr="003D086C" w:rsidRDefault="00DB1E00" w:rsidP="000468D7">
      <w:pPr>
        <w:pStyle w:val="Heading1"/>
      </w:pPr>
      <w:bookmarkStart w:id="20" w:name="_Toc80957424"/>
      <w:r>
        <w:t>CONTACT INFORMATION</w:t>
      </w:r>
      <w:bookmarkEnd w:id="20"/>
    </w:p>
    <w:p w14:paraId="7E4A3736" w14:textId="77777777" w:rsidR="006B3C87" w:rsidRPr="003D086C" w:rsidRDefault="006B3C87" w:rsidP="006B3C87">
      <w:pPr>
        <w:spacing w:after="0"/>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370DB" w:rsidRPr="000B5FDA" w14:paraId="09D5B466" w14:textId="77777777" w:rsidTr="000B5FDA">
        <w:trPr>
          <w:trHeight w:val="1343"/>
        </w:trPr>
        <w:tc>
          <w:tcPr>
            <w:tcW w:w="4675" w:type="dxa"/>
          </w:tcPr>
          <w:p w14:paraId="16712FFC" w14:textId="6600F7A2" w:rsidR="007370DB" w:rsidRPr="007370DB" w:rsidRDefault="007370DB" w:rsidP="000B5FDA">
            <w:pPr>
              <w:rPr>
                <w:b/>
                <w:bCs/>
              </w:rPr>
            </w:pPr>
            <w:r w:rsidRPr="000B5FDA">
              <w:rPr>
                <w:b/>
                <w:bCs/>
              </w:rPr>
              <w:t xml:space="preserve">For questions about </w:t>
            </w:r>
            <w:r>
              <w:rPr>
                <w:b/>
                <w:bCs/>
              </w:rPr>
              <w:t>Missouri Area Career Center Opportunity (MACCO) grant:</w:t>
            </w:r>
          </w:p>
          <w:p w14:paraId="0F733037" w14:textId="50B3A296" w:rsidR="007370DB" w:rsidRPr="000B5FDA" w:rsidRDefault="007370DB" w:rsidP="000B5FDA">
            <w:pPr>
              <w:rPr>
                <w:bCs/>
              </w:rPr>
            </w:pPr>
            <w:r w:rsidRPr="000B5FDA">
              <w:rPr>
                <w:bCs/>
              </w:rPr>
              <w:t>Dr. Roger Barnes</w:t>
            </w:r>
          </w:p>
          <w:p w14:paraId="510D5C96" w14:textId="77777777" w:rsidR="007370DB" w:rsidRPr="000B5FDA" w:rsidRDefault="009143C5" w:rsidP="000B5FDA">
            <w:pPr>
              <w:rPr>
                <w:bCs/>
              </w:rPr>
            </w:pPr>
            <w:hyperlink r:id="rId16" w:history="1">
              <w:r w:rsidR="007370DB" w:rsidRPr="000B5FDA">
                <w:rPr>
                  <w:rStyle w:val="Hyperlink"/>
                  <w:bCs/>
                </w:rPr>
                <w:t>Roger.Barnes@dese.mo.gov</w:t>
              </w:r>
            </w:hyperlink>
          </w:p>
          <w:p w14:paraId="5BDABF10" w14:textId="083C921E" w:rsidR="007370DB" w:rsidRPr="000B5FDA" w:rsidRDefault="00506AB0" w:rsidP="009143C5">
            <w:pPr>
              <w:rPr>
                <w:b/>
                <w:bCs/>
              </w:rPr>
            </w:pPr>
            <w:r>
              <w:rPr>
                <w:bCs/>
              </w:rPr>
              <w:t>573-751-3500</w:t>
            </w:r>
          </w:p>
        </w:tc>
        <w:tc>
          <w:tcPr>
            <w:tcW w:w="4675" w:type="dxa"/>
          </w:tcPr>
          <w:p w14:paraId="0C92047E" w14:textId="102A09FB" w:rsidR="00810E73" w:rsidRPr="007370DB" w:rsidRDefault="00810E73" w:rsidP="00810E73">
            <w:pPr>
              <w:pStyle w:val="NoSpacing"/>
              <w:rPr>
                <w:b/>
              </w:rPr>
            </w:pPr>
            <w:r>
              <w:rPr>
                <w:b/>
              </w:rPr>
              <w:t xml:space="preserve">               </w:t>
            </w:r>
            <w:r w:rsidRPr="007370DB">
              <w:rPr>
                <w:b/>
              </w:rPr>
              <w:t>For questions about federal relief funds:</w:t>
            </w:r>
          </w:p>
          <w:p w14:paraId="58C3178F" w14:textId="70664E3D" w:rsidR="00810E73" w:rsidRPr="000B5FDA" w:rsidRDefault="00810E73" w:rsidP="00810E73">
            <w:pPr>
              <w:pStyle w:val="NoSpacing"/>
            </w:pPr>
            <w:r>
              <w:t xml:space="preserve">               </w:t>
            </w:r>
            <w:r w:rsidRPr="000B5FDA">
              <w:t>Dr. Chris Neale, Assistant Commissioner</w:t>
            </w:r>
          </w:p>
          <w:p w14:paraId="4F6BB538" w14:textId="2BA60AAA" w:rsidR="00810E73" w:rsidRPr="000B5FDA" w:rsidRDefault="00810E73" w:rsidP="00810E73">
            <w:pPr>
              <w:pStyle w:val="NoSpacing"/>
            </w:pPr>
            <w:r>
              <w:t xml:space="preserve">               </w:t>
            </w:r>
            <w:hyperlink r:id="rId17" w:history="1">
              <w:r w:rsidRPr="000B5FDA">
                <w:rPr>
                  <w:rStyle w:val="Hyperlink"/>
                  <w:bCs/>
                </w:rPr>
                <w:t>Chris.Neale@dese.mo.gov</w:t>
              </w:r>
            </w:hyperlink>
            <w:r w:rsidRPr="000B5FDA">
              <w:t xml:space="preserve"> </w:t>
            </w:r>
          </w:p>
          <w:p w14:paraId="7ACC473C" w14:textId="285DE2E7" w:rsidR="007370DB" w:rsidRPr="000B5FDA" w:rsidRDefault="00810E73" w:rsidP="00810E73">
            <w:pPr>
              <w:rPr>
                <w:b/>
                <w:bCs/>
              </w:rPr>
            </w:pPr>
            <w:r>
              <w:t xml:space="preserve">               </w:t>
            </w:r>
            <w:r w:rsidRPr="000B5FDA">
              <w:t>573-751-3501</w:t>
            </w:r>
          </w:p>
        </w:tc>
      </w:tr>
      <w:tr w:rsidR="007370DB" w:rsidRPr="000B5FDA" w14:paraId="0AB93EC6" w14:textId="77777777" w:rsidTr="000B5FDA">
        <w:tc>
          <w:tcPr>
            <w:tcW w:w="4675" w:type="dxa"/>
            <w:vMerge w:val="restart"/>
          </w:tcPr>
          <w:p w14:paraId="136C999C" w14:textId="77777777" w:rsidR="00506AB0" w:rsidRDefault="00506AB0" w:rsidP="000B5FDA">
            <w:pPr>
              <w:rPr>
                <w:b/>
                <w:bCs/>
              </w:rPr>
            </w:pPr>
          </w:p>
          <w:p w14:paraId="284A59E3" w14:textId="77777777" w:rsidR="00506AB0" w:rsidRDefault="00506AB0" w:rsidP="000B5FDA">
            <w:pPr>
              <w:rPr>
                <w:bCs/>
              </w:rPr>
            </w:pPr>
          </w:p>
          <w:p w14:paraId="2CF50D3A" w14:textId="3677AD91" w:rsidR="00506AB0" w:rsidRPr="000B5FDA" w:rsidRDefault="00506AB0" w:rsidP="000B5FDA">
            <w:pPr>
              <w:rPr>
                <w:bCs/>
              </w:rPr>
            </w:pPr>
          </w:p>
        </w:tc>
        <w:tc>
          <w:tcPr>
            <w:tcW w:w="4675" w:type="dxa"/>
          </w:tcPr>
          <w:p w14:paraId="50092ABC" w14:textId="77777777" w:rsidR="007370DB" w:rsidRPr="000B5FDA" w:rsidRDefault="007370DB" w:rsidP="000B5FDA">
            <w:pPr>
              <w:rPr>
                <w:b/>
                <w:bCs/>
              </w:rPr>
            </w:pPr>
          </w:p>
        </w:tc>
      </w:tr>
      <w:tr w:rsidR="007370DB" w:rsidRPr="000B5FDA" w14:paraId="48BCD2F0" w14:textId="77777777" w:rsidTr="000B5FDA">
        <w:tc>
          <w:tcPr>
            <w:tcW w:w="4675" w:type="dxa"/>
            <w:vMerge/>
          </w:tcPr>
          <w:p w14:paraId="7FA9E88D" w14:textId="77777777" w:rsidR="007370DB" w:rsidRPr="000B5FDA" w:rsidRDefault="007370DB" w:rsidP="000B5FDA">
            <w:pPr>
              <w:rPr>
                <w:bCs/>
              </w:rPr>
            </w:pPr>
          </w:p>
        </w:tc>
        <w:tc>
          <w:tcPr>
            <w:tcW w:w="4675" w:type="dxa"/>
          </w:tcPr>
          <w:p w14:paraId="344B5306" w14:textId="77777777" w:rsidR="007370DB" w:rsidRPr="000B5FDA" w:rsidRDefault="007370DB" w:rsidP="000B5FDA">
            <w:pPr>
              <w:rPr>
                <w:bCs/>
              </w:rPr>
            </w:pPr>
          </w:p>
        </w:tc>
      </w:tr>
      <w:tr w:rsidR="007370DB" w:rsidRPr="000B5FDA" w14:paraId="0794B05C" w14:textId="77777777" w:rsidTr="000B5FDA">
        <w:tc>
          <w:tcPr>
            <w:tcW w:w="4675" w:type="dxa"/>
            <w:vMerge/>
          </w:tcPr>
          <w:p w14:paraId="0EF51F27" w14:textId="77777777" w:rsidR="007370DB" w:rsidRPr="000B5FDA" w:rsidRDefault="007370DB" w:rsidP="000B5FDA">
            <w:pPr>
              <w:rPr>
                <w:bCs/>
              </w:rPr>
            </w:pPr>
          </w:p>
        </w:tc>
        <w:tc>
          <w:tcPr>
            <w:tcW w:w="4675" w:type="dxa"/>
          </w:tcPr>
          <w:p w14:paraId="6CB8C619" w14:textId="77777777" w:rsidR="007370DB" w:rsidRPr="000B5FDA" w:rsidRDefault="007370DB" w:rsidP="000B5FDA"/>
        </w:tc>
      </w:tr>
      <w:tr w:rsidR="007370DB" w:rsidRPr="000B5FDA" w14:paraId="69D97E7D" w14:textId="77777777" w:rsidTr="000B5FDA">
        <w:tc>
          <w:tcPr>
            <w:tcW w:w="4675" w:type="dxa"/>
            <w:vMerge/>
          </w:tcPr>
          <w:p w14:paraId="6E3E75E3" w14:textId="77777777" w:rsidR="007370DB" w:rsidRPr="000B5FDA" w:rsidRDefault="007370DB" w:rsidP="000B5FDA">
            <w:pPr>
              <w:rPr>
                <w:b/>
                <w:bCs/>
              </w:rPr>
            </w:pPr>
          </w:p>
        </w:tc>
        <w:tc>
          <w:tcPr>
            <w:tcW w:w="4675" w:type="dxa"/>
          </w:tcPr>
          <w:p w14:paraId="6D3D75B4" w14:textId="77777777" w:rsidR="007370DB" w:rsidRPr="000B5FDA" w:rsidRDefault="007370DB" w:rsidP="000B5FDA">
            <w:pPr>
              <w:rPr>
                <w:bCs/>
              </w:rPr>
            </w:pPr>
          </w:p>
        </w:tc>
      </w:tr>
    </w:tbl>
    <w:p w14:paraId="56D06867" w14:textId="77777777" w:rsidR="00671BEE" w:rsidRDefault="00EF3081" w:rsidP="000468D7">
      <w:pPr>
        <w:pStyle w:val="Heading1"/>
      </w:pPr>
      <w:bookmarkStart w:id="21" w:name="_Toc80957425"/>
      <w:r>
        <w:t>APPENDIX A</w:t>
      </w:r>
      <w:bookmarkEnd w:id="21"/>
    </w:p>
    <w:p w14:paraId="14421502" w14:textId="5E40D14F" w:rsidR="0024148A" w:rsidRDefault="006D19E6" w:rsidP="006D19E6">
      <w:pPr>
        <w:pStyle w:val="NoSpacing"/>
      </w:pPr>
      <w:r>
        <w:t>The state of Missouri announced the launch of a public website to help guide access to Missouri’s American Rescue Plan Act (ARPA) funds.  The website, moarpa.mo.gov, enables visitors to learn about how ARPA State Fiscal Recovery Funds are being spent in Mi</w:t>
      </w:r>
      <w:r w:rsidR="002423D2">
        <w:t>ssouri.</w:t>
      </w:r>
    </w:p>
    <w:p w14:paraId="77AAA541" w14:textId="5C618A82" w:rsidR="00BA191F" w:rsidRDefault="00BA191F" w:rsidP="006D19E6">
      <w:pPr>
        <w:pStyle w:val="NoSpacing"/>
      </w:pPr>
    </w:p>
    <w:p w14:paraId="250B8754" w14:textId="24252704" w:rsidR="00BA191F" w:rsidRDefault="00BA191F" w:rsidP="006D19E6">
      <w:pPr>
        <w:pStyle w:val="NoSpacing"/>
      </w:pPr>
      <w:r>
        <w:t>Any reporting requirements of the LEA will be explained in the ARPA MACCO grant award letter presented to the LEA.</w:t>
      </w:r>
    </w:p>
    <w:p w14:paraId="4056838B" w14:textId="77777777" w:rsidR="00BA191F" w:rsidRDefault="00BA191F" w:rsidP="006D19E6">
      <w:pPr>
        <w:pStyle w:val="NoSpacing"/>
      </w:pPr>
    </w:p>
    <w:p w14:paraId="0D0331D1" w14:textId="16EBA266" w:rsidR="002423D2" w:rsidRPr="00DF6632" w:rsidRDefault="002423D2" w:rsidP="006D19E6">
      <w:pPr>
        <w:pStyle w:val="NoSpacing"/>
      </w:pPr>
      <w:r>
        <w:t>An ARPA technical support line can be fo</w:t>
      </w:r>
      <w:r w:rsidRPr="00DF6632">
        <w:t xml:space="preserve">und at:  </w:t>
      </w:r>
      <w:hyperlink r:id="rId18" w:history="1">
        <w:r w:rsidRPr="00DF6632">
          <w:rPr>
            <w:rStyle w:val="Hyperlink"/>
          </w:rPr>
          <w:t>https://moarpa.mo.gov/contact us/</w:t>
        </w:r>
      </w:hyperlink>
      <w:r w:rsidRPr="00DF6632">
        <w:t>.</w:t>
      </w:r>
    </w:p>
    <w:p w14:paraId="011E5476" w14:textId="62244D7F" w:rsidR="002423D2" w:rsidRDefault="00DF6632" w:rsidP="006D19E6">
      <w:pPr>
        <w:pStyle w:val="NoSpacing"/>
        <w:rPr>
          <w:color w:val="FF0000"/>
        </w:rPr>
      </w:pPr>
      <w:r w:rsidRPr="00DF6632">
        <w:t>How to apply for funding can be found at:</w:t>
      </w:r>
      <w:r>
        <w:rPr>
          <w:color w:val="FF0000"/>
        </w:rPr>
        <w:t xml:space="preserve"> </w:t>
      </w:r>
      <w:hyperlink r:id="rId19" w:history="1">
        <w:r w:rsidRPr="004D4E43">
          <w:rPr>
            <w:rStyle w:val="Hyperlink"/>
          </w:rPr>
          <w:t>https://moarpa.mo.gov/apply-for-funding/</w:t>
        </w:r>
      </w:hyperlink>
    </w:p>
    <w:p w14:paraId="24DE17BB" w14:textId="77777777" w:rsidR="00DF6632" w:rsidRPr="00DF6632" w:rsidRDefault="00DF6632" w:rsidP="006D19E6">
      <w:pPr>
        <w:pStyle w:val="NoSpacing"/>
        <w:rPr>
          <w:color w:val="FF0000"/>
        </w:rPr>
      </w:pPr>
    </w:p>
    <w:p w14:paraId="3FC1262B" w14:textId="0A0453E5" w:rsidR="007370DB" w:rsidRPr="007370DB" w:rsidRDefault="007370DB" w:rsidP="007370DB">
      <w:pPr>
        <w:keepNext/>
        <w:keepLines/>
        <w:pBdr>
          <w:top w:val="single" w:sz="4" w:space="1" w:color="auto"/>
          <w:left w:val="single" w:sz="4" w:space="4" w:color="auto"/>
          <w:bottom w:val="single" w:sz="4" w:space="1" w:color="auto"/>
          <w:right w:val="single" w:sz="4" w:space="4" w:color="auto"/>
        </w:pBdr>
        <w:shd w:val="clear" w:color="auto" w:fill="9CC2E5" w:themeFill="accent1" w:themeFillTint="99"/>
        <w:spacing w:before="240" w:after="240"/>
        <w:jc w:val="center"/>
        <w:outlineLvl w:val="0"/>
        <w:rPr>
          <w:rFonts w:asciiTheme="majorHAnsi" w:eastAsiaTheme="majorEastAsia" w:hAnsiTheme="majorHAnsi" w:cstheme="majorBidi"/>
          <w:b/>
          <w:sz w:val="24"/>
          <w:szCs w:val="32"/>
        </w:rPr>
      </w:pPr>
      <w:r>
        <w:rPr>
          <w:rFonts w:asciiTheme="majorHAnsi" w:eastAsiaTheme="majorEastAsia" w:hAnsiTheme="majorHAnsi" w:cstheme="majorBidi"/>
          <w:b/>
          <w:sz w:val="24"/>
          <w:szCs w:val="32"/>
        </w:rPr>
        <w:lastRenderedPageBreak/>
        <w:t>APPENDIX B</w:t>
      </w:r>
    </w:p>
    <w:p w14:paraId="462C9C2F" w14:textId="29EC5E98" w:rsidR="006F1E30" w:rsidRDefault="00506AB0" w:rsidP="006F1E30">
      <w:r>
        <w:t xml:space="preserve">Due to the expedited nature of forwarding the new MACCO Grant Award Program to Missouri’s CTE area career center personnel, as well as the additional procedures that are required for ARPA funding through the Missouri Office of Administration, additional details such as the grant’s reimbursement </w:t>
      </w:r>
      <w:r w:rsidR="00DA1249" w:rsidRPr="00DA1249">
        <w:t xml:space="preserve">procedures and processes will be provided </w:t>
      </w:r>
      <w:r>
        <w:t xml:space="preserve">as soon as they are available.  </w:t>
      </w:r>
    </w:p>
    <w:p w14:paraId="6C4ECE03" w14:textId="62155B45" w:rsidR="00BA191F" w:rsidRDefault="00506AB0" w:rsidP="00BA191F">
      <w:pPr>
        <w:autoSpaceDE w:val="0"/>
        <w:autoSpaceDN w:val="0"/>
        <w:adjustRightInd w:val="0"/>
        <w:spacing w:after="0" w:line="240" w:lineRule="auto"/>
        <w:rPr>
          <w:rFonts w:cstheme="minorHAnsi"/>
        </w:rPr>
      </w:pPr>
      <w:r>
        <w:rPr>
          <w:rFonts w:cstheme="minorHAnsi"/>
        </w:rPr>
        <w:t xml:space="preserve">Copies of invoices will be required for reimbursement.  </w:t>
      </w:r>
      <w:r w:rsidR="00BA191F">
        <w:rPr>
          <w:rFonts w:cstheme="minorHAnsi"/>
        </w:rPr>
        <w:t xml:space="preserve">Copies of invoices that will be submitted for reimbursement must be emailed to Roger Barnes, DESE CTE Coordinator at </w:t>
      </w:r>
      <w:hyperlink r:id="rId20" w:history="1">
        <w:r w:rsidR="00BA191F" w:rsidRPr="00F42B0A">
          <w:rPr>
            <w:rStyle w:val="Hyperlink"/>
            <w:rFonts w:cstheme="minorHAnsi"/>
          </w:rPr>
          <w:t>roger.barnes@dese.mo.gov</w:t>
        </w:r>
      </w:hyperlink>
      <w:r w:rsidR="00BA191F">
        <w:rPr>
          <w:rFonts w:cstheme="minorHAnsi"/>
        </w:rPr>
        <w:t>.  Invoices should show the total amount being billed to the school district.  LEAs will be reimbursed at a rate 75% of approved invoice amounts.</w:t>
      </w:r>
    </w:p>
    <w:p w14:paraId="6DF41273" w14:textId="71A84AB6" w:rsidR="00BA191F" w:rsidRDefault="00BA191F" w:rsidP="006F1E30"/>
    <w:p w14:paraId="60470AF2" w14:textId="753BD822" w:rsidR="00506AB0" w:rsidRPr="00DA1249" w:rsidRDefault="00506AB0" w:rsidP="006F1E30">
      <w:r>
        <w:t xml:space="preserve">Additional Reimbursement Procedures </w:t>
      </w:r>
      <w:r w:rsidRPr="00DA1249">
        <w:t>– instructions to follow</w:t>
      </w:r>
      <w:r>
        <w:t>.</w:t>
      </w:r>
    </w:p>
    <w:sectPr w:rsidR="00506AB0" w:rsidRPr="00DA1249" w:rsidSect="00FD4AF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E30FA" w14:textId="77777777" w:rsidR="009143C5" w:rsidRDefault="009143C5" w:rsidP="007A0723">
      <w:pPr>
        <w:spacing w:after="0" w:line="240" w:lineRule="auto"/>
      </w:pPr>
      <w:r>
        <w:separator/>
      </w:r>
    </w:p>
  </w:endnote>
  <w:endnote w:type="continuationSeparator" w:id="0">
    <w:p w14:paraId="53E23AFF" w14:textId="77777777" w:rsidR="009143C5" w:rsidRDefault="009143C5" w:rsidP="007A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6259" w14:textId="6BE20DE5" w:rsidR="009143C5" w:rsidRPr="00123BAE" w:rsidRDefault="009143C5" w:rsidP="00123BAE">
    <w:pPr>
      <w:pStyle w:val="Footer"/>
      <w:jc w:val="center"/>
    </w:pPr>
    <w:r>
      <w:fldChar w:fldCharType="begin"/>
    </w:r>
    <w:r>
      <w:instrText xml:space="preserve"> PAGE   \* MERGEFORMAT </w:instrText>
    </w:r>
    <w:r>
      <w:fldChar w:fldCharType="separate"/>
    </w:r>
    <w:r w:rsidR="00286F3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00409" w14:textId="77777777" w:rsidR="009143C5" w:rsidRDefault="009143C5" w:rsidP="007A0723">
      <w:pPr>
        <w:spacing w:after="0" w:line="240" w:lineRule="auto"/>
      </w:pPr>
      <w:r>
        <w:separator/>
      </w:r>
    </w:p>
  </w:footnote>
  <w:footnote w:type="continuationSeparator" w:id="0">
    <w:p w14:paraId="6DA3DF69" w14:textId="77777777" w:rsidR="009143C5" w:rsidRDefault="009143C5" w:rsidP="007A0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E2C5B"/>
    <w:multiLevelType w:val="hybridMultilevel"/>
    <w:tmpl w:val="2F7C2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1395F"/>
    <w:multiLevelType w:val="hybridMultilevel"/>
    <w:tmpl w:val="CB12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C0BFF"/>
    <w:multiLevelType w:val="hybridMultilevel"/>
    <w:tmpl w:val="E456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C3ABC"/>
    <w:multiLevelType w:val="hybridMultilevel"/>
    <w:tmpl w:val="0BC2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CB"/>
    <w:rsid w:val="000014A3"/>
    <w:rsid w:val="000102A7"/>
    <w:rsid w:val="00013181"/>
    <w:rsid w:val="000233A5"/>
    <w:rsid w:val="000257CC"/>
    <w:rsid w:val="00034A47"/>
    <w:rsid w:val="000365FD"/>
    <w:rsid w:val="000415AA"/>
    <w:rsid w:val="000468D7"/>
    <w:rsid w:val="000473A2"/>
    <w:rsid w:val="0005091F"/>
    <w:rsid w:val="00064B75"/>
    <w:rsid w:val="00085E8F"/>
    <w:rsid w:val="00092AF8"/>
    <w:rsid w:val="000B4D97"/>
    <w:rsid w:val="000B5FDA"/>
    <w:rsid w:val="000B6F28"/>
    <w:rsid w:val="000D16C6"/>
    <w:rsid w:val="000D2A1A"/>
    <w:rsid w:val="000F5EAE"/>
    <w:rsid w:val="0010276B"/>
    <w:rsid w:val="00111F03"/>
    <w:rsid w:val="00122245"/>
    <w:rsid w:val="00123BAE"/>
    <w:rsid w:val="00143141"/>
    <w:rsid w:val="00144865"/>
    <w:rsid w:val="00150898"/>
    <w:rsid w:val="001637AB"/>
    <w:rsid w:val="00182F71"/>
    <w:rsid w:val="00185B96"/>
    <w:rsid w:val="001911B8"/>
    <w:rsid w:val="001C0EED"/>
    <w:rsid w:val="001C581F"/>
    <w:rsid w:val="001C70FA"/>
    <w:rsid w:val="001F4DFA"/>
    <w:rsid w:val="00201135"/>
    <w:rsid w:val="00211426"/>
    <w:rsid w:val="0021632D"/>
    <w:rsid w:val="00222EA2"/>
    <w:rsid w:val="00223A42"/>
    <w:rsid w:val="0024148A"/>
    <w:rsid w:val="002423D2"/>
    <w:rsid w:val="00245D23"/>
    <w:rsid w:val="00253194"/>
    <w:rsid w:val="00276CB3"/>
    <w:rsid w:val="00286F3A"/>
    <w:rsid w:val="002A3B59"/>
    <w:rsid w:val="002B060D"/>
    <w:rsid w:val="002B338C"/>
    <w:rsid w:val="002B5380"/>
    <w:rsid w:val="002B58C7"/>
    <w:rsid w:val="002F787B"/>
    <w:rsid w:val="00303769"/>
    <w:rsid w:val="00304916"/>
    <w:rsid w:val="00307134"/>
    <w:rsid w:val="00311603"/>
    <w:rsid w:val="00324DCB"/>
    <w:rsid w:val="003324DB"/>
    <w:rsid w:val="003721F3"/>
    <w:rsid w:val="00382325"/>
    <w:rsid w:val="003914C3"/>
    <w:rsid w:val="003B534A"/>
    <w:rsid w:val="003B7D00"/>
    <w:rsid w:val="003E5452"/>
    <w:rsid w:val="003E79F4"/>
    <w:rsid w:val="003F55C8"/>
    <w:rsid w:val="00411C0E"/>
    <w:rsid w:val="004154D9"/>
    <w:rsid w:val="00416516"/>
    <w:rsid w:val="00420085"/>
    <w:rsid w:val="00427844"/>
    <w:rsid w:val="00454580"/>
    <w:rsid w:val="00495E91"/>
    <w:rsid w:val="004C2756"/>
    <w:rsid w:val="004C32A4"/>
    <w:rsid w:val="004D11CE"/>
    <w:rsid w:val="004D5254"/>
    <w:rsid w:val="004D5C75"/>
    <w:rsid w:val="004D6645"/>
    <w:rsid w:val="004E397F"/>
    <w:rsid w:val="004F1AE8"/>
    <w:rsid w:val="00506AB0"/>
    <w:rsid w:val="00511472"/>
    <w:rsid w:val="005219C2"/>
    <w:rsid w:val="00530A1D"/>
    <w:rsid w:val="005444CB"/>
    <w:rsid w:val="00546233"/>
    <w:rsid w:val="00563B73"/>
    <w:rsid w:val="00577B3C"/>
    <w:rsid w:val="005802F6"/>
    <w:rsid w:val="0058045F"/>
    <w:rsid w:val="005934FA"/>
    <w:rsid w:val="005C70A6"/>
    <w:rsid w:val="005E26BB"/>
    <w:rsid w:val="005E5C43"/>
    <w:rsid w:val="00604813"/>
    <w:rsid w:val="006075D7"/>
    <w:rsid w:val="00611CFF"/>
    <w:rsid w:val="00620236"/>
    <w:rsid w:val="00631691"/>
    <w:rsid w:val="00632705"/>
    <w:rsid w:val="00634632"/>
    <w:rsid w:val="006478C1"/>
    <w:rsid w:val="00650EF0"/>
    <w:rsid w:val="00651461"/>
    <w:rsid w:val="00657770"/>
    <w:rsid w:val="00671BEE"/>
    <w:rsid w:val="006A2DD6"/>
    <w:rsid w:val="006B2200"/>
    <w:rsid w:val="006B3C87"/>
    <w:rsid w:val="006C1C18"/>
    <w:rsid w:val="006C2891"/>
    <w:rsid w:val="006D1143"/>
    <w:rsid w:val="006D19E6"/>
    <w:rsid w:val="006D1A5F"/>
    <w:rsid w:val="006E230A"/>
    <w:rsid w:val="006F1E30"/>
    <w:rsid w:val="006F7D18"/>
    <w:rsid w:val="007011B2"/>
    <w:rsid w:val="007072D8"/>
    <w:rsid w:val="007211A5"/>
    <w:rsid w:val="007370DB"/>
    <w:rsid w:val="00781017"/>
    <w:rsid w:val="0078722E"/>
    <w:rsid w:val="007A0723"/>
    <w:rsid w:val="007B1A58"/>
    <w:rsid w:val="007C1543"/>
    <w:rsid w:val="007C7D65"/>
    <w:rsid w:val="007E1D03"/>
    <w:rsid w:val="007E3C8C"/>
    <w:rsid w:val="007F0575"/>
    <w:rsid w:val="00810E73"/>
    <w:rsid w:val="0081542E"/>
    <w:rsid w:val="00817763"/>
    <w:rsid w:val="00824181"/>
    <w:rsid w:val="00825F78"/>
    <w:rsid w:val="00833C02"/>
    <w:rsid w:val="00837C27"/>
    <w:rsid w:val="0084648E"/>
    <w:rsid w:val="00846BD6"/>
    <w:rsid w:val="008565C4"/>
    <w:rsid w:val="00864E3C"/>
    <w:rsid w:val="00876BBD"/>
    <w:rsid w:val="0089775D"/>
    <w:rsid w:val="008C38D8"/>
    <w:rsid w:val="008D2A7D"/>
    <w:rsid w:val="00901642"/>
    <w:rsid w:val="00902807"/>
    <w:rsid w:val="009034A4"/>
    <w:rsid w:val="00904CFE"/>
    <w:rsid w:val="009143C5"/>
    <w:rsid w:val="009260DA"/>
    <w:rsid w:val="00942FC9"/>
    <w:rsid w:val="00945AD3"/>
    <w:rsid w:val="0096733D"/>
    <w:rsid w:val="00971A23"/>
    <w:rsid w:val="009729B2"/>
    <w:rsid w:val="00987B09"/>
    <w:rsid w:val="00995AAE"/>
    <w:rsid w:val="009A4F1E"/>
    <w:rsid w:val="009C0C1D"/>
    <w:rsid w:val="009C46B8"/>
    <w:rsid w:val="00A11E2B"/>
    <w:rsid w:val="00A3514D"/>
    <w:rsid w:val="00A42D31"/>
    <w:rsid w:val="00A6678D"/>
    <w:rsid w:val="00A73E36"/>
    <w:rsid w:val="00A81139"/>
    <w:rsid w:val="00A84DE0"/>
    <w:rsid w:val="00AA07DE"/>
    <w:rsid w:val="00AA51B6"/>
    <w:rsid w:val="00AA76D9"/>
    <w:rsid w:val="00AB008A"/>
    <w:rsid w:val="00AB5051"/>
    <w:rsid w:val="00AC4D63"/>
    <w:rsid w:val="00AC755D"/>
    <w:rsid w:val="00AE466E"/>
    <w:rsid w:val="00AF5876"/>
    <w:rsid w:val="00B01B9A"/>
    <w:rsid w:val="00B1426E"/>
    <w:rsid w:val="00B30641"/>
    <w:rsid w:val="00B31BDC"/>
    <w:rsid w:val="00B338E3"/>
    <w:rsid w:val="00B601CF"/>
    <w:rsid w:val="00B74EA5"/>
    <w:rsid w:val="00B851E8"/>
    <w:rsid w:val="00B92F64"/>
    <w:rsid w:val="00BA191F"/>
    <w:rsid w:val="00BB0496"/>
    <w:rsid w:val="00BB6245"/>
    <w:rsid w:val="00BB68E7"/>
    <w:rsid w:val="00BB69EF"/>
    <w:rsid w:val="00BC170B"/>
    <w:rsid w:val="00BD6021"/>
    <w:rsid w:val="00BD60C5"/>
    <w:rsid w:val="00BE572E"/>
    <w:rsid w:val="00BF3DC8"/>
    <w:rsid w:val="00C00359"/>
    <w:rsid w:val="00C13ED9"/>
    <w:rsid w:val="00C3482C"/>
    <w:rsid w:val="00C34F48"/>
    <w:rsid w:val="00C75B37"/>
    <w:rsid w:val="00C90C45"/>
    <w:rsid w:val="00CA6E08"/>
    <w:rsid w:val="00CB20F5"/>
    <w:rsid w:val="00CC2B25"/>
    <w:rsid w:val="00CE0747"/>
    <w:rsid w:val="00CE712C"/>
    <w:rsid w:val="00CF3055"/>
    <w:rsid w:val="00D0226B"/>
    <w:rsid w:val="00D3514A"/>
    <w:rsid w:val="00D45E1A"/>
    <w:rsid w:val="00DA1249"/>
    <w:rsid w:val="00DB1E00"/>
    <w:rsid w:val="00DB7CE8"/>
    <w:rsid w:val="00DC4559"/>
    <w:rsid w:val="00DF0A82"/>
    <w:rsid w:val="00DF1BC6"/>
    <w:rsid w:val="00DF6270"/>
    <w:rsid w:val="00DF6632"/>
    <w:rsid w:val="00E071D1"/>
    <w:rsid w:val="00E07E13"/>
    <w:rsid w:val="00E15C66"/>
    <w:rsid w:val="00E237C0"/>
    <w:rsid w:val="00E26A99"/>
    <w:rsid w:val="00E363D4"/>
    <w:rsid w:val="00E37DC1"/>
    <w:rsid w:val="00E83166"/>
    <w:rsid w:val="00E9558F"/>
    <w:rsid w:val="00EA6B24"/>
    <w:rsid w:val="00EB32BF"/>
    <w:rsid w:val="00EC3CAC"/>
    <w:rsid w:val="00EC422B"/>
    <w:rsid w:val="00EE1C7F"/>
    <w:rsid w:val="00EF3081"/>
    <w:rsid w:val="00EF4936"/>
    <w:rsid w:val="00EF5C58"/>
    <w:rsid w:val="00F02B90"/>
    <w:rsid w:val="00F25784"/>
    <w:rsid w:val="00F37EAF"/>
    <w:rsid w:val="00F66FCF"/>
    <w:rsid w:val="00F75631"/>
    <w:rsid w:val="00F80ACA"/>
    <w:rsid w:val="00F93B0B"/>
    <w:rsid w:val="00FA7D9A"/>
    <w:rsid w:val="00FB574A"/>
    <w:rsid w:val="00FB76E3"/>
    <w:rsid w:val="00FC5709"/>
    <w:rsid w:val="00FC6142"/>
    <w:rsid w:val="00FD4AF4"/>
    <w:rsid w:val="00FD6722"/>
    <w:rsid w:val="00FE0E5C"/>
    <w:rsid w:val="00FF2D0F"/>
    <w:rsid w:val="00FF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8B5534"/>
  <w15:chartTrackingRefBased/>
  <w15:docId w15:val="{B0BE1416-253C-4560-94E8-9E710126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1F"/>
  </w:style>
  <w:style w:type="paragraph" w:styleId="Heading1">
    <w:name w:val="heading 1"/>
    <w:basedOn w:val="Normal"/>
    <w:next w:val="Normal"/>
    <w:link w:val="Heading1Char"/>
    <w:uiPriority w:val="9"/>
    <w:qFormat/>
    <w:rsid w:val="000468D7"/>
    <w:pPr>
      <w:keepNext/>
      <w:keepLines/>
      <w:pBdr>
        <w:top w:val="single" w:sz="4" w:space="1" w:color="auto"/>
        <w:left w:val="single" w:sz="4" w:space="4" w:color="auto"/>
        <w:bottom w:val="single" w:sz="4" w:space="1" w:color="auto"/>
        <w:right w:val="single" w:sz="4" w:space="4" w:color="auto"/>
      </w:pBdr>
      <w:shd w:val="clear" w:color="auto" w:fill="9CC2E5" w:themeFill="accent1" w:themeFillTint="99"/>
      <w:spacing w:before="240" w:after="240"/>
      <w:jc w:val="center"/>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7211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30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8D7"/>
    <w:rPr>
      <w:rFonts w:asciiTheme="majorHAnsi" w:eastAsiaTheme="majorEastAsia" w:hAnsiTheme="majorHAnsi" w:cstheme="majorBidi"/>
      <w:b/>
      <w:sz w:val="24"/>
      <w:szCs w:val="32"/>
      <w:shd w:val="clear" w:color="auto" w:fill="9CC2E5" w:themeFill="accent1" w:themeFillTint="99"/>
    </w:rPr>
  </w:style>
  <w:style w:type="character" w:customStyle="1" w:styleId="Heading2Char">
    <w:name w:val="Heading 2 Char"/>
    <w:basedOn w:val="DefaultParagraphFont"/>
    <w:link w:val="Heading2"/>
    <w:uiPriority w:val="9"/>
    <w:rsid w:val="007211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F305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D1A5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basedOn w:val="Normal"/>
    <w:next w:val="Normal"/>
    <w:uiPriority w:val="35"/>
    <w:unhideWhenUsed/>
    <w:qFormat/>
    <w:rsid w:val="007A072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A0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23"/>
  </w:style>
  <w:style w:type="paragraph" w:styleId="Footer">
    <w:name w:val="footer"/>
    <w:basedOn w:val="Normal"/>
    <w:link w:val="FooterChar"/>
    <w:uiPriority w:val="99"/>
    <w:unhideWhenUsed/>
    <w:rsid w:val="007A0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23"/>
  </w:style>
  <w:style w:type="paragraph" w:styleId="TOCHeading">
    <w:name w:val="TOC Heading"/>
    <w:basedOn w:val="Heading1"/>
    <w:next w:val="Normal"/>
    <w:uiPriority w:val="39"/>
    <w:unhideWhenUsed/>
    <w:qFormat/>
    <w:rsid w:val="00BD60C5"/>
    <w:pPr>
      <w:outlineLvl w:val="9"/>
    </w:pPr>
  </w:style>
  <w:style w:type="paragraph" w:styleId="TOC1">
    <w:name w:val="toc 1"/>
    <w:basedOn w:val="Normal"/>
    <w:next w:val="Normal"/>
    <w:autoRedefine/>
    <w:uiPriority w:val="39"/>
    <w:unhideWhenUsed/>
    <w:rsid w:val="00BC170B"/>
    <w:pPr>
      <w:tabs>
        <w:tab w:val="right" w:leader="dot" w:pos="9350"/>
      </w:tabs>
      <w:spacing w:after="100"/>
    </w:pPr>
    <w:rPr>
      <w:noProof/>
    </w:rPr>
  </w:style>
  <w:style w:type="character" w:styleId="Hyperlink">
    <w:name w:val="Hyperlink"/>
    <w:basedOn w:val="DefaultParagraphFont"/>
    <w:uiPriority w:val="99"/>
    <w:unhideWhenUsed/>
    <w:rsid w:val="00BD60C5"/>
    <w:rPr>
      <w:color w:val="0563C1" w:themeColor="hyperlink"/>
      <w:u w:val="single"/>
    </w:rPr>
  </w:style>
  <w:style w:type="paragraph" w:styleId="Index1">
    <w:name w:val="index 1"/>
    <w:basedOn w:val="Normal"/>
    <w:next w:val="Normal"/>
    <w:autoRedefine/>
    <w:uiPriority w:val="99"/>
    <w:semiHidden/>
    <w:unhideWhenUsed/>
    <w:rsid w:val="00BD60C5"/>
    <w:pPr>
      <w:spacing w:after="0" w:line="240" w:lineRule="auto"/>
      <w:ind w:left="220" w:hanging="220"/>
    </w:pPr>
  </w:style>
  <w:style w:type="character" w:styleId="SubtleEmphasis">
    <w:name w:val="Subtle Emphasis"/>
    <w:basedOn w:val="DefaultParagraphFont"/>
    <w:uiPriority w:val="19"/>
    <w:qFormat/>
    <w:rsid w:val="00902807"/>
    <w:rPr>
      <w:i/>
      <w:iCs/>
      <w:color w:val="404040" w:themeColor="text1" w:themeTint="BF"/>
    </w:rPr>
  </w:style>
  <w:style w:type="paragraph" w:styleId="TOC2">
    <w:name w:val="toc 2"/>
    <w:basedOn w:val="Normal"/>
    <w:next w:val="Normal"/>
    <w:autoRedefine/>
    <w:uiPriority w:val="39"/>
    <w:unhideWhenUsed/>
    <w:rsid w:val="006C2891"/>
    <w:pPr>
      <w:spacing w:after="100"/>
      <w:ind w:left="220"/>
    </w:pPr>
  </w:style>
  <w:style w:type="paragraph" w:styleId="NoSpacing">
    <w:name w:val="No Spacing"/>
    <w:uiPriority w:val="1"/>
    <w:qFormat/>
    <w:rsid w:val="00013181"/>
    <w:pPr>
      <w:spacing w:after="0" w:line="240" w:lineRule="auto"/>
    </w:pPr>
  </w:style>
  <w:style w:type="paragraph" w:styleId="Title">
    <w:name w:val="Title"/>
    <w:basedOn w:val="Normal"/>
    <w:next w:val="Normal"/>
    <w:link w:val="TitleChar"/>
    <w:uiPriority w:val="10"/>
    <w:qFormat/>
    <w:rsid w:val="004165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65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651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6516"/>
    <w:rPr>
      <w:rFonts w:eastAsiaTheme="minorEastAsia"/>
      <w:color w:val="5A5A5A" w:themeColor="text1" w:themeTint="A5"/>
      <w:spacing w:val="15"/>
    </w:rPr>
  </w:style>
  <w:style w:type="paragraph" w:styleId="TOC3">
    <w:name w:val="toc 3"/>
    <w:basedOn w:val="Normal"/>
    <w:next w:val="Normal"/>
    <w:autoRedefine/>
    <w:uiPriority w:val="39"/>
    <w:unhideWhenUsed/>
    <w:rsid w:val="0089775D"/>
    <w:pPr>
      <w:spacing w:after="100"/>
      <w:ind w:left="440"/>
    </w:pPr>
  </w:style>
  <w:style w:type="paragraph" w:styleId="ListParagraph">
    <w:name w:val="List Paragraph"/>
    <w:basedOn w:val="Normal"/>
    <w:uiPriority w:val="34"/>
    <w:qFormat/>
    <w:rsid w:val="0010276B"/>
    <w:pPr>
      <w:ind w:left="720"/>
      <w:contextualSpacing/>
    </w:pPr>
  </w:style>
  <w:style w:type="table" w:styleId="GridTable4-Accent1">
    <w:name w:val="Grid Table 4 Accent 1"/>
    <w:basedOn w:val="TableNormal"/>
    <w:uiPriority w:val="49"/>
    <w:rsid w:val="00DB7C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qFormat/>
    <w:rsid w:val="00B74EA5"/>
    <w:rPr>
      <w:b/>
      <w:bCs/>
    </w:rPr>
  </w:style>
  <w:style w:type="paragraph" w:styleId="BalloonText">
    <w:name w:val="Balloon Text"/>
    <w:basedOn w:val="Normal"/>
    <w:link w:val="BalloonTextChar"/>
    <w:uiPriority w:val="99"/>
    <w:semiHidden/>
    <w:unhideWhenUsed/>
    <w:rsid w:val="004E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97F"/>
    <w:rPr>
      <w:rFonts w:ascii="Segoe UI" w:hAnsi="Segoe UI" w:cs="Segoe UI"/>
      <w:sz w:val="18"/>
      <w:szCs w:val="18"/>
    </w:rPr>
  </w:style>
  <w:style w:type="character" w:styleId="FollowedHyperlink">
    <w:name w:val="FollowedHyperlink"/>
    <w:basedOn w:val="DefaultParagraphFont"/>
    <w:uiPriority w:val="99"/>
    <w:semiHidden/>
    <w:unhideWhenUsed/>
    <w:rsid w:val="000233A5"/>
    <w:rPr>
      <w:color w:val="954F72"/>
      <w:u w:val="single"/>
    </w:rPr>
  </w:style>
  <w:style w:type="paragraph" w:customStyle="1" w:styleId="msonormal0">
    <w:name w:val="msonormal"/>
    <w:basedOn w:val="Normal"/>
    <w:rsid w:val="00023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0233A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0233A5"/>
    <w:pPr>
      <w:spacing w:before="100" w:beforeAutospacing="1" w:after="100" w:afterAutospacing="1" w:line="240" w:lineRule="auto"/>
      <w:jc w:val="center"/>
    </w:pPr>
    <w:rPr>
      <w:rFonts w:ascii="Times New Roman" w:eastAsia="Times New Roman" w:hAnsi="Times New Roman" w:cs="Times New Roman"/>
      <w:sz w:val="24"/>
      <w:szCs w:val="24"/>
    </w:rPr>
  </w:style>
  <w:style w:type="table" w:styleId="ListTable4-Accent5">
    <w:name w:val="List Table 4 Accent 5"/>
    <w:basedOn w:val="TableNormal"/>
    <w:uiPriority w:val="49"/>
    <w:rsid w:val="000233A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l66">
    <w:name w:val="xl66"/>
    <w:basedOn w:val="Normal"/>
    <w:rsid w:val="00563B73"/>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2872">
      <w:bodyDiv w:val="1"/>
      <w:marLeft w:val="0"/>
      <w:marRight w:val="0"/>
      <w:marTop w:val="0"/>
      <w:marBottom w:val="0"/>
      <w:divBdr>
        <w:top w:val="none" w:sz="0" w:space="0" w:color="auto"/>
        <w:left w:val="none" w:sz="0" w:space="0" w:color="auto"/>
        <w:bottom w:val="none" w:sz="0" w:space="0" w:color="auto"/>
        <w:right w:val="none" w:sz="0" w:space="0" w:color="auto"/>
      </w:divBdr>
    </w:div>
    <w:div w:id="318001261">
      <w:bodyDiv w:val="1"/>
      <w:marLeft w:val="0"/>
      <w:marRight w:val="0"/>
      <w:marTop w:val="0"/>
      <w:marBottom w:val="0"/>
      <w:divBdr>
        <w:top w:val="none" w:sz="0" w:space="0" w:color="auto"/>
        <w:left w:val="none" w:sz="0" w:space="0" w:color="auto"/>
        <w:bottom w:val="none" w:sz="0" w:space="0" w:color="auto"/>
        <w:right w:val="none" w:sz="0" w:space="0" w:color="auto"/>
      </w:divBdr>
    </w:div>
    <w:div w:id="350106176">
      <w:bodyDiv w:val="1"/>
      <w:marLeft w:val="0"/>
      <w:marRight w:val="0"/>
      <w:marTop w:val="0"/>
      <w:marBottom w:val="0"/>
      <w:divBdr>
        <w:top w:val="none" w:sz="0" w:space="0" w:color="auto"/>
        <w:left w:val="none" w:sz="0" w:space="0" w:color="auto"/>
        <w:bottom w:val="none" w:sz="0" w:space="0" w:color="auto"/>
        <w:right w:val="none" w:sz="0" w:space="0" w:color="auto"/>
      </w:divBdr>
    </w:div>
    <w:div w:id="567493973">
      <w:bodyDiv w:val="1"/>
      <w:marLeft w:val="0"/>
      <w:marRight w:val="0"/>
      <w:marTop w:val="0"/>
      <w:marBottom w:val="0"/>
      <w:divBdr>
        <w:top w:val="none" w:sz="0" w:space="0" w:color="auto"/>
        <w:left w:val="none" w:sz="0" w:space="0" w:color="auto"/>
        <w:bottom w:val="none" w:sz="0" w:space="0" w:color="auto"/>
        <w:right w:val="none" w:sz="0" w:space="0" w:color="auto"/>
      </w:divBdr>
    </w:div>
    <w:div w:id="734084092">
      <w:bodyDiv w:val="1"/>
      <w:marLeft w:val="0"/>
      <w:marRight w:val="0"/>
      <w:marTop w:val="0"/>
      <w:marBottom w:val="0"/>
      <w:divBdr>
        <w:top w:val="none" w:sz="0" w:space="0" w:color="auto"/>
        <w:left w:val="none" w:sz="0" w:space="0" w:color="auto"/>
        <w:bottom w:val="none" w:sz="0" w:space="0" w:color="auto"/>
        <w:right w:val="none" w:sz="0" w:space="0" w:color="auto"/>
      </w:divBdr>
    </w:div>
    <w:div w:id="744181542">
      <w:bodyDiv w:val="1"/>
      <w:marLeft w:val="0"/>
      <w:marRight w:val="0"/>
      <w:marTop w:val="0"/>
      <w:marBottom w:val="0"/>
      <w:divBdr>
        <w:top w:val="none" w:sz="0" w:space="0" w:color="auto"/>
        <w:left w:val="none" w:sz="0" w:space="0" w:color="auto"/>
        <w:bottom w:val="none" w:sz="0" w:space="0" w:color="auto"/>
        <w:right w:val="none" w:sz="0" w:space="0" w:color="auto"/>
      </w:divBdr>
    </w:div>
    <w:div w:id="922759656">
      <w:bodyDiv w:val="1"/>
      <w:marLeft w:val="0"/>
      <w:marRight w:val="0"/>
      <w:marTop w:val="0"/>
      <w:marBottom w:val="0"/>
      <w:divBdr>
        <w:top w:val="none" w:sz="0" w:space="0" w:color="auto"/>
        <w:left w:val="none" w:sz="0" w:space="0" w:color="auto"/>
        <w:bottom w:val="none" w:sz="0" w:space="0" w:color="auto"/>
        <w:right w:val="none" w:sz="0" w:space="0" w:color="auto"/>
      </w:divBdr>
    </w:div>
    <w:div w:id="1055590884">
      <w:bodyDiv w:val="1"/>
      <w:marLeft w:val="0"/>
      <w:marRight w:val="0"/>
      <w:marTop w:val="0"/>
      <w:marBottom w:val="0"/>
      <w:divBdr>
        <w:top w:val="none" w:sz="0" w:space="0" w:color="auto"/>
        <w:left w:val="none" w:sz="0" w:space="0" w:color="auto"/>
        <w:bottom w:val="none" w:sz="0" w:space="0" w:color="auto"/>
        <w:right w:val="none" w:sz="0" w:space="0" w:color="auto"/>
      </w:divBdr>
    </w:div>
    <w:div w:id="1190415043">
      <w:bodyDiv w:val="1"/>
      <w:marLeft w:val="0"/>
      <w:marRight w:val="0"/>
      <w:marTop w:val="0"/>
      <w:marBottom w:val="0"/>
      <w:divBdr>
        <w:top w:val="none" w:sz="0" w:space="0" w:color="auto"/>
        <w:left w:val="none" w:sz="0" w:space="0" w:color="auto"/>
        <w:bottom w:val="none" w:sz="0" w:space="0" w:color="auto"/>
        <w:right w:val="none" w:sz="0" w:space="0" w:color="auto"/>
      </w:divBdr>
    </w:div>
    <w:div w:id="1290473640">
      <w:bodyDiv w:val="1"/>
      <w:marLeft w:val="0"/>
      <w:marRight w:val="0"/>
      <w:marTop w:val="0"/>
      <w:marBottom w:val="0"/>
      <w:divBdr>
        <w:top w:val="none" w:sz="0" w:space="0" w:color="auto"/>
        <w:left w:val="none" w:sz="0" w:space="0" w:color="auto"/>
        <w:bottom w:val="none" w:sz="0" w:space="0" w:color="auto"/>
        <w:right w:val="none" w:sz="0" w:space="0" w:color="auto"/>
      </w:divBdr>
    </w:div>
    <w:div w:id="1339384098">
      <w:bodyDiv w:val="1"/>
      <w:marLeft w:val="0"/>
      <w:marRight w:val="0"/>
      <w:marTop w:val="0"/>
      <w:marBottom w:val="0"/>
      <w:divBdr>
        <w:top w:val="none" w:sz="0" w:space="0" w:color="auto"/>
        <w:left w:val="none" w:sz="0" w:space="0" w:color="auto"/>
        <w:bottom w:val="none" w:sz="0" w:space="0" w:color="auto"/>
        <w:right w:val="none" w:sz="0" w:space="0" w:color="auto"/>
      </w:divBdr>
    </w:div>
    <w:div w:id="1487479329">
      <w:bodyDiv w:val="1"/>
      <w:marLeft w:val="0"/>
      <w:marRight w:val="0"/>
      <w:marTop w:val="0"/>
      <w:marBottom w:val="0"/>
      <w:divBdr>
        <w:top w:val="none" w:sz="0" w:space="0" w:color="auto"/>
        <w:left w:val="none" w:sz="0" w:space="0" w:color="auto"/>
        <w:bottom w:val="none" w:sz="0" w:space="0" w:color="auto"/>
        <w:right w:val="none" w:sz="0" w:space="0" w:color="auto"/>
      </w:divBdr>
    </w:div>
    <w:div w:id="1634672963">
      <w:bodyDiv w:val="1"/>
      <w:marLeft w:val="0"/>
      <w:marRight w:val="0"/>
      <w:marTop w:val="0"/>
      <w:marBottom w:val="0"/>
      <w:divBdr>
        <w:top w:val="none" w:sz="0" w:space="0" w:color="auto"/>
        <w:left w:val="none" w:sz="0" w:space="0" w:color="auto"/>
        <w:bottom w:val="none" w:sz="0" w:space="0" w:color="auto"/>
        <w:right w:val="none" w:sz="0" w:space="0" w:color="auto"/>
      </w:divBdr>
    </w:div>
    <w:div w:id="1707489548">
      <w:bodyDiv w:val="1"/>
      <w:marLeft w:val="0"/>
      <w:marRight w:val="0"/>
      <w:marTop w:val="0"/>
      <w:marBottom w:val="0"/>
      <w:divBdr>
        <w:top w:val="none" w:sz="0" w:space="0" w:color="auto"/>
        <w:left w:val="none" w:sz="0" w:space="0" w:color="auto"/>
        <w:bottom w:val="none" w:sz="0" w:space="0" w:color="auto"/>
        <w:right w:val="none" w:sz="0" w:space="0" w:color="auto"/>
      </w:divBdr>
    </w:div>
    <w:div w:id="1802453813">
      <w:bodyDiv w:val="1"/>
      <w:marLeft w:val="0"/>
      <w:marRight w:val="0"/>
      <w:marTop w:val="0"/>
      <w:marBottom w:val="0"/>
      <w:divBdr>
        <w:top w:val="none" w:sz="0" w:space="0" w:color="auto"/>
        <w:left w:val="none" w:sz="0" w:space="0" w:color="auto"/>
        <w:bottom w:val="none" w:sz="0" w:space="0" w:color="auto"/>
        <w:right w:val="none" w:sz="0" w:space="0" w:color="auto"/>
      </w:divBdr>
    </w:div>
    <w:div w:id="1969357054">
      <w:bodyDiv w:val="1"/>
      <w:marLeft w:val="0"/>
      <w:marRight w:val="0"/>
      <w:marTop w:val="0"/>
      <w:marBottom w:val="0"/>
      <w:divBdr>
        <w:top w:val="none" w:sz="0" w:space="0" w:color="auto"/>
        <w:left w:val="none" w:sz="0" w:space="0" w:color="auto"/>
        <w:bottom w:val="none" w:sz="0" w:space="0" w:color="auto"/>
        <w:right w:val="none" w:sz="0" w:space="0" w:color="auto"/>
      </w:divBdr>
    </w:div>
    <w:div w:id="214060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ese.mo.gov/media/pdf/general-federal-guidance" TargetMode="External"/><Relationship Id="rId18" Type="http://schemas.openxmlformats.org/officeDocument/2006/relationships/hyperlink" Target="https://moarpa.mo.gov/contact%20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2.ed.gov/documents/coronavirus/factsheet-fiscal-questions.pdf" TargetMode="External"/><Relationship Id="rId17" Type="http://schemas.openxmlformats.org/officeDocument/2006/relationships/hyperlink" Target="mailto:Chris.Neale@dese.mo.gov" TargetMode="External"/><Relationship Id="rId2" Type="http://schemas.openxmlformats.org/officeDocument/2006/relationships/numbering" Target="numbering.xml"/><Relationship Id="rId16" Type="http://schemas.openxmlformats.org/officeDocument/2006/relationships/hyperlink" Target="mailto:Roger.Barnes@dese.mo.gov" TargetMode="External"/><Relationship Id="rId20" Type="http://schemas.openxmlformats.org/officeDocument/2006/relationships/hyperlink" Target="mailto:roger.barnes@dese.m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arpa.mo.gov/apply-for-funding/" TargetMode="External"/><Relationship Id="rId5" Type="http://schemas.openxmlformats.org/officeDocument/2006/relationships/webSettings" Target="webSettings.xml"/><Relationship Id="rId15" Type="http://schemas.openxmlformats.org/officeDocument/2006/relationships/hyperlink" Target="mailto:roger.barnes@dese.mo.gov" TargetMode="External"/><Relationship Id="rId23" Type="http://schemas.openxmlformats.org/officeDocument/2006/relationships/theme" Target="theme/theme1.xml"/><Relationship Id="rId10" Type="http://schemas.openxmlformats.org/officeDocument/2006/relationships/hyperlink" Target="https://dese.mo.gov/media/pdf/fy-2023-enhancement-grant-administrative-planning-guide" TargetMode="External"/><Relationship Id="rId19" Type="http://schemas.openxmlformats.org/officeDocument/2006/relationships/hyperlink" Target="https://moarpa.mo.gov/apply-for-funding/" TargetMode="External"/><Relationship Id="rId4" Type="http://schemas.openxmlformats.org/officeDocument/2006/relationships/settings" Target="settings.xml"/><Relationship Id="rId9" Type="http://schemas.openxmlformats.org/officeDocument/2006/relationships/hyperlink" Target="mailto:civilrights@dese.mo.gov" TargetMode="External"/><Relationship Id="rId14" Type="http://schemas.openxmlformats.org/officeDocument/2006/relationships/hyperlink" Target="mailto:roger.barnes@dese.mo.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21930-D404-4DB8-8C0B-A671B9CE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Chris</dc:creator>
  <cp:keywords/>
  <dc:description/>
  <cp:lastModifiedBy>Barnes, Roger</cp:lastModifiedBy>
  <cp:revision>2</cp:revision>
  <cp:lastPrinted>2022-04-28T23:23:00Z</cp:lastPrinted>
  <dcterms:created xsi:type="dcterms:W3CDTF">2022-07-18T18:27:00Z</dcterms:created>
  <dcterms:modified xsi:type="dcterms:W3CDTF">2022-07-18T18:27:00Z</dcterms:modified>
</cp:coreProperties>
</file>